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tai-20251231x10k.htm"/>
        <w:bookmarkStart w:id="1" w:name="ksbtai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bookmarkStart w:id="2" w:name="_dd68bce8_db75_4806_8981_eae50cc6f8f3"/>
      <w:bookmarkEnd w:id="2"/>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100"/>
        <w:ind w:left="0" w:right="0" w:hanging="0"/>
        <w:jc w:val="center"/>
        <w:rPr>
          <w:rFonts w:ascii="Times New Roman;Times;serif" w:hAnsi="Times New Roman;Times;serif"/>
          <w:b/>
          <w:sz w:val="22"/>
        </w:rPr>
      </w:pPr>
      <w:r>
        <w:rPr>
          <w:rFonts w:ascii="Times New Roman;Times;serif" w:hAnsi="Times New Roman;Times;serif"/>
          <w:b/>
          <w:sz w:val="22"/>
        </w:rPr>
        <w:t>FORM 10-K</w:t>
      </w:r>
    </w:p>
    <w:p>
      <w:pPr>
        <w:pStyle w:val="Normal"/>
        <w:bidi w:val="0"/>
        <w:spacing w:before="0" w:after="0"/>
        <w:jc w:val="left"/>
        <w:rPr>
          <w:sz w:val="4"/>
          <w:szCs w:val="4"/>
        </w:rPr>
      </w:pPr>
      <w:r>
        <w:rPr>
          <w:sz w:val="4"/>
          <w:szCs w:val="4"/>
        </w:rPr>
      </w:r>
      <w:bookmarkStart w:id="3" w:name="Tc_smJioipeIkmFXSo4OpgNrQ_6_0"/>
      <w:bookmarkStart w:id="4" w:name="Tc_m2-m4b4qDUuZ8fO8P5pXyg_5_1"/>
      <w:bookmarkStart w:id="5" w:name="Tc_tyCqcqWSMESDlnnaLf_RoQ_4_0"/>
      <w:bookmarkStart w:id="6" w:name="Tc_i0dNg30oZ0aiPrTbcjNYkw_3_0"/>
      <w:bookmarkStart w:id="7" w:name="Tc_TlOYu5HUqEmCcQYK8NSGQg_2_1"/>
      <w:bookmarkStart w:id="8" w:name="Tc_3on4bVOT5U6PhK-tsLUWJA_1_0"/>
      <w:bookmarkStart w:id="9" w:name="_a847c753_2275_4a3e_abe3_1baf8bd99860"/>
      <w:bookmarkStart w:id="10" w:name="Tc_smJioipeIkmFXSo4OpgNrQ_6_0"/>
      <w:bookmarkStart w:id="11" w:name="Tc_m2-m4b4qDUuZ8fO8P5pXyg_5_1"/>
      <w:bookmarkStart w:id="12" w:name="Tc_tyCqcqWSMESDlnnaLf_RoQ_4_0"/>
      <w:bookmarkStart w:id="13" w:name="Tc_i0dNg30oZ0aiPrTbcjNYkw_3_0"/>
      <w:bookmarkStart w:id="14" w:name="Tc_TlOYu5HUqEmCcQYK8NSGQg_2_1"/>
      <w:bookmarkStart w:id="15" w:name="Tc_3on4bVOT5U6PhK-tsLUWJA_1_0"/>
      <w:bookmarkStart w:id="16" w:name="_a847c753_2275_4a3e_abe3_1baf8bd99860"/>
      <w:bookmarkEnd w:id="10"/>
      <w:bookmarkEnd w:id="11"/>
      <w:bookmarkEnd w:id="12"/>
      <w:bookmarkEnd w:id="13"/>
      <w:bookmarkEnd w:id="14"/>
      <w:bookmarkEnd w:id="15"/>
      <w:bookmarkEnd w:id="16"/>
    </w:p>
    <w:tbl>
      <w:tblPr>
        <w:tblW w:w="5732" w:type="dxa"/>
        <w:jc w:val="left"/>
        <w:tblInd w:w="0" w:type="dxa"/>
        <w:tblLayout w:type="fixed"/>
        <w:tblCellMar>
          <w:top w:w="0" w:type="dxa"/>
          <w:left w:w="0" w:type="dxa"/>
          <w:bottom w:w="0" w:type="dxa"/>
          <w:right w:w="0" w:type="dxa"/>
        </w:tblCellMar>
      </w:tblPr>
      <w:tblGrid>
        <w:gridCol w:w="331"/>
        <w:gridCol w:w="5401"/>
      </w:tblGrid>
      <w:tr>
        <w:trPr/>
        <w:tc>
          <w:tcPr>
            <w:tcW w:w="331" w:type="dxa"/>
            <w:tcBorders/>
            <w:vAlign w:val="center"/>
          </w:tcPr>
          <w:p>
            <w:pPr>
              <w:pStyle w:val="TableContents"/>
              <w:bidi w:val="0"/>
              <w:spacing w:before="0" w:after="0"/>
              <w:ind w:left="0" w:right="0" w:hanging="0"/>
              <w:jc w:val="left"/>
              <w:rPr/>
            </w:pPr>
            <w:r>
              <w:rPr/>
              <w:t>​</w:t>
            </w:r>
          </w:p>
        </w:tc>
        <w:tc>
          <w:tcPr>
            <w:tcW w:w="5401" w:type="dxa"/>
            <w:tcBorders/>
            <w:vAlign w:val="center"/>
          </w:tcPr>
          <w:p>
            <w:pPr>
              <w:pStyle w:val="TableContents"/>
              <w:bidi w:val="0"/>
              <w:spacing w:before="0" w:after="0"/>
              <w:ind w:left="0" w:right="0" w:hanging="0"/>
              <w:jc w:val="left"/>
              <w:rPr/>
            </w:pPr>
            <w:r>
              <w:rPr/>
              <w:t>​</w:t>
            </w:r>
          </w:p>
        </w:tc>
      </w:tr>
      <w:tr>
        <w:trPr/>
        <w:tc>
          <w:tcPr>
            <w:tcW w:w="5732" w:type="dxa"/>
            <w:gridSpan w:val="2"/>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(Mark one)</w:t>
            </w:r>
          </w:p>
        </w:tc>
      </w:tr>
      <w:tr>
        <w:trPr/>
        <w:tc>
          <w:tcPr>
            <w:tcW w:w="331" w:type="dxa"/>
            <w:tcBorders/>
            <w:vAlign w:val="center"/>
          </w:tcPr>
          <w:p>
            <w:pPr>
              <w:pStyle w:val="TableContents"/>
              <w:pBdr/>
              <w:bidi w:val="0"/>
              <w:spacing w:before="0" w:after="0"/>
              <w:ind w:left="0" w:right="0" w:hanging="0"/>
              <w:jc w:val="center"/>
              <w:rPr/>
            </w:pPr>
            <w:r>
              <w:rPr/>
              <w:t>☒</w:t>
            </w:r>
          </w:p>
        </w:tc>
        <w:tc>
          <w:tcPr>
            <w:tcW w:w="54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Annual Report Pursuant to Section 13 or 15(d) of the Securities Exchange Act of 1934</w:t>
            </w:r>
          </w:p>
        </w:tc>
      </w:tr>
      <w:tr>
        <w:trPr/>
        <w:tc>
          <w:tcPr>
            <w:tcW w:w="5732"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31, 2025</w:t>
            </w:r>
          </w:p>
        </w:tc>
      </w:tr>
      <w:tr>
        <w:trPr/>
        <w:tc>
          <w:tcPr>
            <w:tcW w:w="5732"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331" w:type="dxa"/>
            <w:tcBorders/>
            <w:vAlign w:val="center"/>
          </w:tcPr>
          <w:p>
            <w:pPr>
              <w:pStyle w:val="TableContents"/>
              <w:pBdr/>
              <w:bidi w:val="0"/>
              <w:spacing w:before="0" w:after="0"/>
              <w:ind w:left="0" w:right="0" w:hanging="0"/>
              <w:jc w:val="center"/>
              <w:rPr/>
            </w:pPr>
            <w:r>
              <w:rPr/>
              <w:t>☐</w:t>
            </w:r>
          </w:p>
        </w:tc>
        <w:tc>
          <w:tcPr>
            <w:tcW w:w="54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Transition Report Pursuant to Section 13 or 15(d) of the Securities Exchange Act of 1934</w:t>
            </w:r>
          </w:p>
        </w:tc>
      </w:tr>
      <w:tr>
        <w:trPr/>
        <w:tc>
          <w:tcPr>
            <w:tcW w:w="5732" w:type="dxa"/>
            <w:gridSpan w:val="2"/>
            <w:tcBorders/>
            <w:vAlign w:val="center"/>
          </w:tcPr>
          <w:p>
            <w:pPr>
              <w:pStyle w:val="TableContents"/>
              <w:pBdr/>
              <w:bidi w:val="0"/>
              <w:spacing w:before="0" w:after="0"/>
              <w:ind w:left="0" w:right="0" w:hanging="144"/>
              <w:jc w:val="center"/>
              <w:rPr>
                <w:rFonts w:ascii="Times New Roman;Times;serif" w:hAnsi="Times New Roman;Times;serif"/>
                <w:b/>
                <w:sz w:val="14"/>
              </w:rPr>
            </w:pPr>
            <w:r>
              <w:rPr>
                <w:rFonts w:ascii="Times New Roman;Times;serif" w:hAnsi="Times New Roman;Times;serif"/>
                <w:b/>
                <w:sz w:val="14"/>
              </w:rPr>
              <w:t>For the transition period from to .</w:t>
            </w:r>
          </w:p>
        </w:tc>
      </w:tr>
    </w:tbl>
    <w:p>
      <w:pPr>
        <w:pStyle w:val="TextBody"/>
        <w:bidi w:val="0"/>
        <w:spacing w:lineRule="atLeast" w:line="142"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Commission file number 001-38410</w:t>
      </w:r>
    </w:p>
    <w:p>
      <w:pPr>
        <w:pStyle w:val="TextBody"/>
        <w:bidi w:val="0"/>
        <w:spacing w:before="0" w:after="60"/>
        <w:ind w:left="0" w:right="0" w:hanging="0"/>
        <w:jc w:val="center"/>
        <w:rPr>
          <w:rFonts w:ascii="Times New Roman;Times;serif" w:hAnsi="Times New Roman;Times;serif"/>
          <w:b/>
          <w:sz w:val="28"/>
        </w:rPr>
      </w:pPr>
      <w:r>
        <w:rPr>
          <w:rFonts w:ascii="Times New Roman;Times;serif" w:hAnsi="Times New Roman;Times;serif"/>
          <w:b/>
          <w:sz w:val="28"/>
        </w:rPr>
        <w:t>BioXcel Therapeutics, Inc.</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tbl>
      <w:tblPr>
        <w:tblW w:w="3602" w:type="dxa"/>
        <w:jc w:val="left"/>
        <w:tblInd w:w="0" w:type="dxa"/>
        <w:tblLayout w:type="fixed"/>
        <w:tblCellMar>
          <w:top w:w="0" w:type="dxa"/>
          <w:left w:w="0" w:type="dxa"/>
          <w:bottom w:w="0" w:type="dxa"/>
          <w:right w:w="0" w:type="dxa"/>
        </w:tblCellMar>
      </w:tblPr>
      <w:tblGrid>
        <w:gridCol w:w="2386"/>
        <w:gridCol w:w="1216"/>
      </w:tblGrid>
      <w:tr>
        <w:trPr/>
        <w:tc>
          <w:tcPr>
            <w:tcW w:w="238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Delaware</w:t>
            </w:r>
            <w:r>
              <w:rPr>
                <w:rFonts w:ascii="Times New Roman;Times;serif" w:hAnsi="Times New Roman;Times;serif"/>
                <w:sz w:val="14"/>
              </w:rPr>
              <w:br/>
              <w:t>(State or other jurisdiction of</w:t>
              <w:b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82-1386754</w:t>
            </w:r>
            <w:r>
              <w:rPr>
                <w:rFonts w:ascii="Times New Roman;Times;serif" w:hAnsi="Times New Roman;Times;serif"/>
                <w:sz w:val="14"/>
              </w:rPr>
              <w:br/>
              <w:t>(I.R.S. Employer</w:t>
              <w:br/>
              <w:t>Identification No.)</w:t>
            </w:r>
          </w:p>
        </w:tc>
      </w:tr>
      <w:tr>
        <w:trPr/>
        <w:tc>
          <w:tcPr>
            <w:tcW w:w="2386" w:type="dxa"/>
            <w:tcBorders/>
            <w:vAlign w:val="center"/>
          </w:tcPr>
          <w:p>
            <w:pPr>
              <w:pStyle w:val="TableContents"/>
              <w:pBdr/>
              <w:bidi w:val="0"/>
              <w:spacing w:before="0" w:after="0"/>
              <w:ind w:left="0" w:right="0" w:hanging="144"/>
              <w:jc w:val="center"/>
              <w:rPr>
                <w:rFonts w:ascii="Times New Roman;Times;serif" w:hAnsi="Times New Roman;Times;serif"/>
                <w:b/>
                <w:sz w:val="14"/>
              </w:rPr>
            </w:pPr>
            <w:r>
              <w:rPr>
                <w:rFonts w:ascii="Times New Roman;Times;serif" w:hAnsi="Times New Roman;Times;serif"/>
                <w:b/>
                <w:sz w:val="14"/>
              </w:rPr>
              <w:t>555 Long Wharf Drive</w:t>
            </w:r>
          </w:p>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New Haven</w:t>
            </w:r>
            <w:r>
              <w:rPr>
                <w:rFonts w:ascii="Times New Roman;Times;serif" w:hAnsi="Times New Roman;Times;serif"/>
                <w:sz w:val="20"/>
              </w:rPr>
              <w:t xml:space="preserve"> </w:t>
            </w:r>
            <w:r>
              <w:rPr>
                <w:rFonts w:ascii="Times New Roman;Times;serif" w:hAnsi="Times New Roman;Times;serif"/>
                <w:b/>
                <w:sz w:val="14"/>
              </w:rPr>
              <w:t>CT</w:t>
            </w:r>
            <w:r>
              <w:rPr>
                <w:rFonts w:ascii="Times New Roman;Times;serif" w:hAnsi="Times New Roman;Times;serif"/>
                <w:sz w:val="14"/>
              </w:rPr>
              <w:br/>
              <w:t>(Address of principal executive offices)</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06511</w:t>
            </w:r>
            <w:r>
              <w:rPr>
                <w:rFonts w:ascii="Times New Roman;Times;serif" w:hAnsi="Times New Roman;Times;serif"/>
                <w:sz w:val="14"/>
              </w:rPr>
              <w:br/>
              <w:t>(Zip Code)</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14"/>
        </w:rPr>
        <w:t>Registrant’s telephone number, including area code: </w:t>
      </w:r>
      <w:r>
        <w:rPr>
          <w:rFonts w:ascii="Times New Roman;Times;serif" w:hAnsi="Times New Roman;Times;serif"/>
          <w:b/>
          <w:sz w:val="14"/>
        </w:rPr>
        <w:t>(475) 238-6837</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5P04gq6WfU-2dCXpsMBnnw_2_2"/>
      <w:bookmarkStart w:id="18" w:name="Tc_036p4NolrUKKEA-XzMjkow_2_0"/>
      <w:bookmarkStart w:id="19" w:name="Tc_fGV8Ubl2fUGnZ5RdekIpDQ_1_2"/>
      <w:bookmarkStart w:id="20" w:name="Tc_gRBPZFXnu0y1WV0zdVd-Qw_1_1"/>
      <w:bookmarkStart w:id="21" w:name="Tc__Kc0QXf-pE-2Cyw-lfYTKA_1_0"/>
      <w:bookmarkStart w:id="22" w:name="_266d601b_6b44_470f_8a2c_8f44a0c673ed"/>
      <w:bookmarkStart w:id="23" w:name="Tc_5P04gq6WfU-2dCXpsMBnnw_2_2"/>
      <w:bookmarkStart w:id="24" w:name="Tc_036p4NolrUKKEA-XzMjkow_2_0"/>
      <w:bookmarkStart w:id="25" w:name="Tc_fGV8Ubl2fUGnZ5RdekIpDQ_1_2"/>
      <w:bookmarkStart w:id="26" w:name="Tc_gRBPZFXnu0y1WV0zdVd-Qw_1_1"/>
      <w:bookmarkStart w:id="27" w:name="Tc__Kc0QXf-pE-2Cyw-lfYTKA_1_0"/>
      <w:bookmarkStart w:id="28" w:name="_266d601b_6b44_470f_8a2c_8f44a0c673ed"/>
      <w:bookmarkEnd w:id="23"/>
      <w:bookmarkEnd w:id="24"/>
      <w:bookmarkEnd w:id="25"/>
      <w:bookmarkEnd w:id="26"/>
      <w:bookmarkEnd w:id="27"/>
      <w:bookmarkEnd w:id="28"/>
    </w:p>
    <w:tbl>
      <w:tblPr>
        <w:tblW w:w="6183" w:type="dxa"/>
        <w:jc w:val="left"/>
        <w:tblInd w:w="0" w:type="dxa"/>
        <w:tblLayout w:type="fixed"/>
        <w:tblCellMar>
          <w:top w:w="0" w:type="dxa"/>
          <w:left w:w="0" w:type="dxa"/>
          <w:bottom w:w="0" w:type="dxa"/>
          <w:right w:w="0" w:type="dxa"/>
        </w:tblCellMar>
      </w:tblPr>
      <w:tblGrid>
        <w:gridCol w:w="2656"/>
        <w:gridCol w:w="1186"/>
        <w:gridCol w:w="234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86560" cy="175260"/>
                      <wp:effectExtent l="0" t="0" r="0" b="0"/>
                      <wp:wrapNone/>
                      <wp:docPr id="1" name="Frame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Name of exchange on which registered</w:t>
            </w:r>
          </w:p>
        </w:tc>
      </w:tr>
      <w:tr>
        <w:trPr/>
        <w:tc>
          <w:tcPr>
            <w:tcW w:w="26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 par value $0.001 per share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BTAI</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Nasdaq</w:t>
            </w:r>
            <w:r>
              <w:rPr>
                <w:rFonts w:ascii="Times New Roman;Times;serif" w:hAnsi="Times New Roman;Times;serif"/>
                <w:sz w:val="20"/>
              </w:rPr>
              <w:t xml:space="preserve"> </w:t>
            </w:r>
            <w:r>
              <w:rPr>
                <w:rFonts w:ascii="Times New Roman;Times;serif" w:hAnsi="Times New Roman;Times;serif"/>
                <w:b/>
                <w:sz w:val="14"/>
              </w:rPr>
              <w:t>Capital Market</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12(g) of the Act: </w:t>
      </w:r>
      <w:r>
        <w:rPr>
          <w:rFonts w:ascii="Times New Roman;Times;serif" w:hAnsi="Times New Roman;Times;serif"/>
          <w:b/>
          <w:sz w:val="14"/>
        </w:rPr>
        <w:t>None</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484" w:type="dxa"/>
        <w:jc w:val="left"/>
        <w:tblInd w:w="0" w:type="dxa"/>
        <w:tblLayout w:type="fixed"/>
        <w:tblCellMar>
          <w:top w:w="0" w:type="dxa"/>
          <w:left w:w="0" w:type="dxa"/>
          <w:bottom w:w="0" w:type="dxa"/>
          <w:right w:w="0" w:type="dxa"/>
        </w:tblCellMar>
      </w:tblPr>
      <w:tblGrid>
        <w:gridCol w:w="1516"/>
        <w:gridCol w:w="1186"/>
        <w:gridCol w:w="1516"/>
        <w:gridCol w:w="2266"/>
      </w:tblGrid>
      <w:tr>
        <w:trPr/>
        <w:tc>
          <w:tcPr>
            <w:tcW w:w="15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c>
          <w:tcPr>
            <w:tcW w:w="15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Non-accelerated filer</w:t>
            </w:r>
            <w:r>
              <w:rPr>
                <w:rFonts w:ascii="Times New Roman;Times;serif" w:hAnsi="Times New Roman;Times;serif"/>
                <w:sz w:val="20"/>
              </w:rPr>
              <w:t> ☒</w:t>
            </w:r>
          </w:p>
        </w:tc>
        <w:tc>
          <w:tcPr>
            <w:tcW w:w="22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4"/>
              </w:rPr>
              <w:t>Smaller reporting company </w:t>
            </w:r>
            <w:r>
              <w:rPr>
                <w:rFonts w:ascii="Times New Roman;Times;serif" w:hAnsi="Times New Roman;Times;serif"/>
                <w:sz w:val="20"/>
              </w:rPr>
              <w:t>☒</w:t>
            </w:r>
          </w:p>
        </w:tc>
      </w:tr>
      <w:tr>
        <w:trPr/>
        <w:tc>
          <w:tcPr>
            <w:tcW w:w="1516" w:type="dxa"/>
            <w:tcBorders/>
            <w:vAlign w:val="center"/>
          </w:tcPr>
          <w:p>
            <w:pPr>
              <w:pStyle w:val="TableContents"/>
              <w:bidi w:val="0"/>
              <w:spacing w:before="0" w:after="240"/>
              <w:ind w:left="0" w:right="0" w:hanging="0"/>
              <w:jc w:val="left"/>
              <w:rPr/>
            </w:pPr>
            <w:r>
              <w:rPr/>
              <w:t>​</w:t>
            </w:r>
          </w:p>
        </w:tc>
        <w:tc>
          <w:tcPr>
            <w:tcW w:w="1186" w:type="dxa"/>
            <w:tcBorders/>
            <w:vAlign w:val="center"/>
          </w:tcPr>
          <w:p>
            <w:pPr>
              <w:pStyle w:val="TableContents"/>
              <w:bidi w:val="0"/>
              <w:spacing w:before="0" w:after="240"/>
              <w:ind w:left="0" w:right="0" w:hanging="0"/>
              <w:jc w:val="center"/>
              <w:rPr/>
            </w:pPr>
            <w:r>
              <w:rPr/>
              <w:t>​</w:t>
            </w:r>
          </w:p>
        </w:tc>
        <w:tc>
          <w:tcPr>
            <w:tcW w:w="1516" w:type="dxa"/>
            <w:tcBorders/>
            <w:vAlign w:val="center"/>
          </w:tcPr>
          <w:p>
            <w:pPr>
              <w:pStyle w:val="TableContents"/>
              <w:bidi w:val="0"/>
              <w:spacing w:before="0" w:after="240"/>
              <w:ind w:left="0" w:right="0" w:hanging="0"/>
              <w:jc w:val="center"/>
              <w:rPr/>
            </w:pPr>
            <w:r>
              <w:rPr/>
              <w:t>​</w:t>
            </w:r>
          </w:p>
        </w:tc>
        <w:tc>
          <w:tcPr>
            <w:tcW w:w="2266" w:type="dxa"/>
            <w:tcBorders/>
            <w:vAlign w:val="center"/>
          </w:tcPr>
          <w:p>
            <w:pPr>
              <w:pStyle w:val="TableContents"/>
              <w:bidi w:val="0"/>
              <w:spacing w:before="0" w:after="0"/>
              <w:ind w:left="0" w:right="0" w:firstLine="360"/>
              <w:jc w:val="right"/>
              <w:rPr>
                <w:rFonts w:ascii="Times New Roman;Times;serif" w:hAnsi="Times New Roman;Times;serif"/>
                <w:sz w:val="20"/>
              </w:rPr>
            </w:pPr>
            <w:r>
              <w:rPr>
                <w:rFonts w:ascii="Times New Roman;Times;serif" w:hAnsi="Times New Roman;Times;serif"/>
                <w:sz w:val="14"/>
              </w:rPr>
              <w:t>Emerging growth company </w:t>
            </w:r>
            <w:r>
              <w:rPr>
                <w:rFonts w:ascii="Times New Roman;Times;serif" w:hAnsi="Times New Roman;Times;serif"/>
                <w:sz w:val="20"/>
              </w:rPr>
              <w:t>☐</w:t>
            </w:r>
          </w:p>
        </w:tc>
      </w:tr>
    </w:tbl>
    <w:p>
      <w:pPr>
        <w:pStyle w:val="TextBody"/>
        <w:bidi w:val="0"/>
        <w:spacing w:lineRule="atLeast" w:line="142" w:before="0" w:after="0"/>
        <w:ind w:left="0" w:right="0" w:firstLine="360"/>
        <w:jc w:val="left"/>
        <w:rPr/>
      </w:pPr>
      <w:r>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4"/>
        </w:rPr>
      </w:pPr>
      <w:r>
        <w:rPr>
          <w:rFonts w:ascii="Times New Roman;Times;serif" w:hAnsi="Times New Roman;Times;serif"/>
          <w:sz w:val="14"/>
        </w:rPr>
        <w:t>As of June 30, 2025, the last business day of the registrant's most recently completed second fiscal quarter, the aggregate market value of the registrant’s common stock held by non-affiliates of the registrant was approximately $11,021,589 (based upon the closing sale price of the registrant’s common stock reported on the Nasdaq Capital Market on that date). This calculation excludes shares held by the registrant’s current directors and executive officers and stockholders that the registrant has concluded are affiliates of the registrant.</w:t>
      </w:r>
    </w:p>
    <w:p>
      <w:pPr>
        <w:pStyle w:val="TextBody"/>
        <w:bidi w:val="0"/>
        <w:spacing w:before="0" w:after="0"/>
        <w:ind w:left="0" w:right="0" w:firstLine="360"/>
        <w:jc w:val="left"/>
        <w:rPr/>
      </w:pPr>
      <w:r>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There were 27,074,586 shares of our common stock outstanding at March 26, 2026.</w:t>
      </w:r>
    </w:p>
    <w:p>
      <w:pPr>
        <w:pStyle w:val="TextBody"/>
        <w:bidi w:val="0"/>
        <w:spacing w:before="0" w:after="0"/>
        <w:ind w:left="0" w:right="0" w:firstLine="360"/>
        <w:jc w:val="left"/>
        <w:rPr>
          <w:rFonts w:ascii="Times New Roman;Times;serif" w:hAnsi="Times New Roman;Times;serif"/>
          <w:sz w:val="14"/>
        </w:rPr>
      </w:pPr>
      <w:r>
        <w:rPr>
          <w:rFonts w:ascii="Times New Roman;Times;serif" w:hAnsi="Times New Roman;Times;serif"/>
          <w:sz w:val="14"/>
        </w:rPr>
        <w:t>.</w:t>
      </w:r>
    </w:p>
    <w:p>
      <w:pPr>
        <w:pStyle w:val="TextBody"/>
        <w:bidi w:val="0"/>
        <w:spacing w:before="0" w:after="240"/>
        <w:ind w:left="0" w:right="0" w:firstLine="72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TOC"/>
      <w:bookmarkStart w:id="30" w:name="_0c551ce0_394a_4f93_a0ae_9e2575c9dd18"/>
      <w:bookmarkEnd w:id="29"/>
      <w:bookmarkEnd w:id="30"/>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24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FORWARDLOOKINGSTATEMENTS_331203">
              <w:r>
                <w:rPr>
                  <w:rStyle w:val="InternetLink"/>
                  <w:rFonts w:ascii="Times New Roman;Times;serif" w:hAnsi="Times New Roman;Times;serif"/>
                  <w:b w:val="false"/>
                  <w:i w:val="false"/>
                  <w:caps w:val="false"/>
                  <w:smallCaps w:val="false"/>
                  <w:sz w:val="20"/>
                </w:rPr>
                <w:t>Forward Looking Statements</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SummaryRiskFactors">
              <w:r>
                <w:rPr>
                  <w:rStyle w:val="InternetLink"/>
                  <w:rFonts w:ascii="Times New Roman;Times;serif" w:hAnsi="Times New Roman;Times;serif"/>
                  <w:b w:val="false"/>
                  <w:i w:val="false"/>
                  <w:caps w:val="false"/>
                  <w:smallCaps w:val="false"/>
                  <w:sz w:val="20"/>
                </w:rPr>
                <w:t>Summary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hyperlink w:anchor="PARTI_674733">
              <w:r>
                <w:rPr>
                  <w:rStyle w:val="InternetLink"/>
                  <w:rFonts w:ascii="Times New Roman;Times;serif" w:hAnsi="Times New Roman;Times;serif"/>
                  <w:b w:val="false"/>
                  <w:i w:val="false"/>
                  <w:caps w:val="false"/>
                  <w:smallCaps w:val="false"/>
                  <w:sz w:val="20"/>
                </w:rPr>
                <w:t>Part I.</w:t>
              </w:r>
            </w:hyperlink>
          </w:p>
        </w:tc>
        <w:tc>
          <w:tcPr>
            <w:tcW w:w="8823"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Business_810543">
              <w:r>
                <w:rPr>
                  <w:rStyle w:val="InternetLink"/>
                  <w:rFonts w:ascii="Times New Roman;Times;serif" w:hAnsi="Times New Roman;Times;serif"/>
                  <w:b w:val="false"/>
                  <w:i w:val="false"/>
                  <w:caps w:val="false"/>
                  <w:smallCaps w:val="false"/>
                  <w:sz w:val="20"/>
                </w:rPr>
                <w:t>Item 1.</w:t>
              </w:r>
            </w:hyperlink>
          </w:p>
        </w:tc>
        <w:tc>
          <w:tcPr>
            <w:tcW w:w="8823" w:type="dxa"/>
            <w:tcBorders/>
            <w:vAlign w:val="center"/>
          </w:tcPr>
          <w:p>
            <w:pPr>
              <w:pStyle w:val="TableContents"/>
              <w:bidi w:val="0"/>
              <w:spacing w:before="0" w:after="0"/>
              <w:ind w:left="0" w:right="0" w:hanging="0"/>
              <w:jc w:val="left"/>
              <w:rPr/>
            </w:pPr>
            <w:hyperlink w:anchor="Item1Business_810543">
              <w:r>
                <w:rPr>
                  <w:rStyle w:val="InternetLink"/>
                  <w:rFonts w:ascii="Times New Roman;Times;serif" w:hAnsi="Times New Roman;Times;serif"/>
                  <w:b w:val="false"/>
                  <w:i w:val="false"/>
                  <w:caps w:val="false"/>
                  <w:smallCaps w:val="false"/>
                  <w:sz w:val="20"/>
                </w:rPr>
                <w:t>Business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1ARiskFactors_143189">
              <w:r>
                <w:rPr>
                  <w:rStyle w:val="InternetLink"/>
                  <w:rFonts w:ascii="Times New Roman;Times;serif" w:hAnsi="Times New Roman;Times;serif"/>
                  <w:b w:val="false"/>
                  <w:i w:val="false"/>
                  <w:caps w:val="false"/>
                  <w:smallCaps w:val="false"/>
                  <w:sz w:val="20"/>
                </w:rPr>
                <w:t>Item 1A.</w:t>
              </w:r>
            </w:hyperlink>
          </w:p>
        </w:tc>
        <w:tc>
          <w:tcPr>
            <w:tcW w:w="8823" w:type="dxa"/>
            <w:tcBorders/>
            <w:vAlign w:val="center"/>
          </w:tcPr>
          <w:p>
            <w:pPr>
              <w:pStyle w:val="TableContents"/>
              <w:bidi w:val="0"/>
              <w:spacing w:before="0" w:after="0"/>
              <w:ind w:left="0" w:right="0" w:hanging="0"/>
              <w:jc w:val="left"/>
              <w:rPr/>
            </w:pPr>
            <w:hyperlink w:anchor="Item1ARiskFactors_143189">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hyperlink w:anchor="Item1BUnresolvedStaffComments_512583">
              <w:r>
                <w:rPr>
                  <w:rStyle w:val="InternetLink"/>
                  <w:rFonts w:ascii="Times New Roman;Times;serif" w:hAnsi="Times New Roman;Times;serif"/>
                  <w:b w:val="false"/>
                  <w:i w:val="false"/>
                  <w:caps w:val="false"/>
                  <w:smallCaps w:val="false"/>
                  <w:sz w:val="20"/>
                </w:rPr>
                <w:t>Item 1B.</w:t>
              </w:r>
            </w:hyperlink>
          </w:p>
        </w:tc>
        <w:tc>
          <w:tcPr>
            <w:tcW w:w="8823" w:type="dxa"/>
            <w:tcBorders/>
            <w:vAlign w:val="center"/>
          </w:tcPr>
          <w:p>
            <w:pPr>
              <w:pStyle w:val="TableContents"/>
              <w:bidi w:val="0"/>
              <w:spacing w:before="0" w:after="0"/>
              <w:ind w:left="0" w:right="0" w:hanging="0"/>
              <w:jc w:val="left"/>
              <w:rPr/>
            </w:pPr>
            <w:hyperlink w:anchor="Item1BUnresolvedStaffComments_512583">
              <w:r>
                <w:rPr>
                  <w:rStyle w:val="InternetLink"/>
                  <w:rFonts w:ascii="Times New Roman;Times;serif" w:hAnsi="Times New Roman;Times;serif"/>
                  <w:b w:val="false"/>
                  <w:i w:val="false"/>
                  <w:caps w:val="false"/>
                  <w:smallCaps w:val="false"/>
                  <w:sz w:val="20"/>
                </w:rPr>
                <w:t>Unresolved Staff Comments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811" w:type="dxa"/>
            <w:tcBorders/>
            <w:vAlign w:val="center"/>
          </w:tcPr>
          <w:p>
            <w:pPr>
              <w:pStyle w:val="TableContents"/>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Item 1C</w:t>
              </w:r>
            </w:hyperlink>
            <w:r>
              <w:rPr>
                <w:rFonts w:ascii="Times New Roman;Times;serif" w:hAnsi="Times New Roman;Times;serif"/>
                <w:sz w:val="20"/>
              </w:rPr>
              <w:t>.</w:t>
            </w:r>
          </w:p>
        </w:tc>
        <w:tc>
          <w:tcPr>
            <w:tcW w:w="8823" w:type="dxa"/>
            <w:tcBorders/>
            <w:vAlign w:val="center"/>
          </w:tcPr>
          <w:p>
            <w:pPr>
              <w:pStyle w:val="TableContents"/>
              <w:bidi w:val="0"/>
              <w:spacing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Cybersecurity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811" w:type="dxa"/>
            <w:tcBorders/>
            <w:vAlign w:val="center"/>
          </w:tcPr>
          <w:p>
            <w:pPr>
              <w:pStyle w:val="TableContents"/>
              <w:bidi w:val="0"/>
              <w:spacing w:before="0" w:after="0"/>
              <w:ind w:left="0" w:right="0" w:hanging="0"/>
              <w:jc w:val="left"/>
              <w:rPr/>
            </w:pPr>
            <w:hyperlink w:anchor="Item2Properties_105398">
              <w:r>
                <w:rPr>
                  <w:rStyle w:val="InternetLink"/>
                  <w:rFonts w:ascii="Times New Roman;Times;serif" w:hAnsi="Times New Roman;Times;serif"/>
                  <w:b w:val="false"/>
                  <w:i w:val="false"/>
                  <w:caps w:val="false"/>
                  <w:smallCaps w:val="false"/>
                  <w:sz w:val="20"/>
                </w:rPr>
                <w:t>Item 2.</w:t>
              </w:r>
            </w:hyperlink>
          </w:p>
        </w:tc>
        <w:tc>
          <w:tcPr>
            <w:tcW w:w="8823" w:type="dxa"/>
            <w:tcBorders/>
            <w:vAlign w:val="center"/>
          </w:tcPr>
          <w:p>
            <w:pPr>
              <w:pStyle w:val="TableContents"/>
              <w:bidi w:val="0"/>
              <w:spacing w:before="0" w:after="0"/>
              <w:ind w:left="0" w:right="0" w:hanging="0"/>
              <w:jc w:val="left"/>
              <w:rPr/>
            </w:pPr>
            <w:hyperlink w:anchor="Item2Properties_105398">
              <w:r>
                <w:rPr>
                  <w:rStyle w:val="InternetLink"/>
                  <w:rFonts w:ascii="Times New Roman;Times;serif" w:hAnsi="Times New Roman;Times;serif"/>
                  <w:b w:val="false"/>
                  <w:i w:val="false"/>
                  <w:caps w:val="false"/>
                  <w:smallCaps w:val="false"/>
                  <w:sz w:val="20"/>
                </w:rPr>
                <w:t>Properties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811" w:type="dxa"/>
            <w:tcBorders/>
            <w:vAlign w:val="center"/>
          </w:tcPr>
          <w:p>
            <w:pPr>
              <w:pStyle w:val="TableContents"/>
              <w:bidi w:val="0"/>
              <w:spacing w:before="0" w:after="0"/>
              <w:ind w:left="0" w:right="0" w:hanging="0"/>
              <w:jc w:val="left"/>
              <w:rPr/>
            </w:pPr>
            <w:hyperlink w:anchor="Item3LegalProceedings_216198">
              <w:r>
                <w:rPr>
                  <w:rStyle w:val="InternetLink"/>
                  <w:rFonts w:ascii="Times New Roman;Times;serif" w:hAnsi="Times New Roman;Times;serif"/>
                  <w:b w:val="false"/>
                  <w:i w:val="false"/>
                  <w:caps w:val="false"/>
                  <w:smallCaps w:val="false"/>
                  <w:sz w:val="20"/>
                </w:rPr>
                <w:t>Item 3.</w:t>
              </w:r>
            </w:hyperlink>
          </w:p>
        </w:tc>
        <w:tc>
          <w:tcPr>
            <w:tcW w:w="8823" w:type="dxa"/>
            <w:tcBorders/>
            <w:vAlign w:val="center"/>
          </w:tcPr>
          <w:p>
            <w:pPr>
              <w:pStyle w:val="TableContents"/>
              <w:bidi w:val="0"/>
              <w:spacing w:before="0" w:after="0"/>
              <w:ind w:left="0" w:right="0" w:hanging="0"/>
              <w:jc w:val="left"/>
              <w:rPr/>
            </w:pPr>
            <w:hyperlink w:anchor="Item3LegalProceedings_216198">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811" w:type="dxa"/>
            <w:tcBorders/>
            <w:vAlign w:val="center"/>
          </w:tcPr>
          <w:p>
            <w:pPr>
              <w:pStyle w:val="TableContents"/>
              <w:bidi w:val="0"/>
              <w:spacing w:before="0" w:after="0"/>
              <w:ind w:left="0" w:right="0" w:hanging="0"/>
              <w:jc w:val="left"/>
              <w:rPr/>
            </w:pPr>
            <w:hyperlink w:anchor="Item4MineSafetyDisclosures_460898">
              <w:r>
                <w:rPr>
                  <w:rStyle w:val="InternetLink"/>
                  <w:rFonts w:ascii="Times New Roman;Times;serif" w:hAnsi="Times New Roman;Times;serif"/>
                  <w:b w:val="false"/>
                  <w:i w:val="false"/>
                  <w:caps w:val="false"/>
                  <w:smallCaps w:val="false"/>
                  <w:sz w:val="20"/>
                </w:rPr>
                <w:t>Item 4.</w:t>
              </w:r>
            </w:hyperlink>
          </w:p>
        </w:tc>
        <w:tc>
          <w:tcPr>
            <w:tcW w:w="8823" w:type="dxa"/>
            <w:tcBorders/>
            <w:vAlign w:val="center"/>
          </w:tcPr>
          <w:p>
            <w:pPr>
              <w:pStyle w:val="TableContents"/>
              <w:bidi w:val="0"/>
              <w:spacing w:before="0" w:after="0"/>
              <w:ind w:left="0" w:right="0" w:hanging="0"/>
              <w:jc w:val="left"/>
              <w:rPr/>
            </w:pPr>
            <w:hyperlink w:anchor="Item4MineSafetyDisclosures_460898">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811" w:type="dxa"/>
            <w:tcBorders/>
            <w:vAlign w:val="center"/>
          </w:tcPr>
          <w:p>
            <w:pPr>
              <w:pStyle w:val="TableContents"/>
              <w:bidi w:val="0"/>
              <w:spacing w:before="0" w:after="240"/>
              <w:ind w:left="0" w:right="0" w:hanging="0"/>
              <w:jc w:val="left"/>
              <w:rPr/>
            </w:pPr>
            <w:r>
              <w:rPr/>
              <w:t>​</w:t>
            </w:r>
          </w:p>
        </w:tc>
        <w:tc>
          <w:tcPr>
            <w:tcW w:w="8823"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PartII_326423">
              <w:r>
                <w:rPr>
                  <w:rStyle w:val="InternetLink"/>
                  <w:rFonts w:ascii="Times New Roman;Times;serif" w:hAnsi="Times New Roman;Times;serif"/>
                  <w:b w:val="false"/>
                  <w:i w:val="false"/>
                  <w:caps w:val="false"/>
                  <w:smallCaps w:val="false"/>
                  <w:sz w:val="20"/>
                </w:rPr>
                <w:t>Part II.</w:t>
              </w:r>
            </w:hyperlink>
          </w:p>
        </w:tc>
        <w:tc>
          <w:tcPr>
            <w:tcW w:w="8823"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823"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811" w:type="dxa"/>
            <w:tcBorders/>
            <w:vAlign w:val="center"/>
          </w:tcPr>
          <w:p>
            <w:pPr>
              <w:pStyle w:val="TableContents"/>
              <w:bidi w:val="0"/>
              <w:spacing w:before="0" w:after="0"/>
              <w:ind w:left="0" w:right="0" w:hanging="0"/>
              <w:jc w:val="left"/>
              <w:rPr/>
            </w:pPr>
            <w:hyperlink w:anchor="Item6Reserved_721061">
              <w:r>
                <w:rPr>
                  <w:rStyle w:val="InternetLink"/>
                  <w:rFonts w:ascii="Times New Roman;Times;serif" w:hAnsi="Times New Roman;Times;serif"/>
                  <w:b w:val="false"/>
                  <w:i w:val="false"/>
                  <w:caps w:val="false"/>
                  <w:smallCaps w:val="false"/>
                  <w:sz w:val="20"/>
                </w:rPr>
                <w:t>Item 6.</w:t>
              </w:r>
            </w:hyperlink>
          </w:p>
        </w:tc>
        <w:tc>
          <w:tcPr>
            <w:tcW w:w="8823" w:type="dxa"/>
            <w:tcBorders/>
            <w:vAlign w:val="center"/>
          </w:tcPr>
          <w:p>
            <w:pPr>
              <w:pStyle w:val="TableContents"/>
              <w:bidi w:val="0"/>
              <w:spacing w:before="0" w:after="0"/>
              <w:ind w:left="0" w:right="0" w:hanging="0"/>
              <w:jc w:val="left"/>
              <w:rPr/>
            </w:pPr>
            <w:hyperlink w:anchor="Item6Reserved_721061">
              <w:r>
                <w:rPr>
                  <w:rStyle w:val="InternetLink"/>
                  <w:rFonts w:ascii="Times New Roman;Times;serif" w:hAnsi="Times New Roman;Times;serif"/>
                  <w:b w:val="false"/>
                  <w:i w:val="false"/>
                  <w:caps w:val="false"/>
                  <w:smallCaps w:val="false"/>
                  <w:sz w:val="20"/>
                </w:rPr>
                <w:t>Reserved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81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823"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81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823"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81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823"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81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823"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811" w:type="dxa"/>
            <w:tcBorders/>
            <w:vAlign w:val="center"/>
          </w:tcPr>
          <w:p>
            <w:pPr>
              <w:pStyle w:val="TableContents"/>
              <w:bidi w:val="0"/>
              <w:spacing w:before="0" w:after="0"/>
              <w:ind w:left="0" w:right="0" w:hanging="0"/>
              <w:jc w:val="left"/>
              <w:rPr/>
            </w:pPr>
            <w:hyperlink w:anchor="Item9AControlsandProcedures_710755">
              <w:r>
                <w:rPr>
                  <w:rStyle w:val="InternetLink"/>
                  <w:rFonts w:ascii="Times New Roman;Times;serif" w:hAnsi="Times New Roman;Times;serif"/>
                  <w:b w:val="false"/>
                  <w:i w:val="false"/>
                  <w:caps w:val="false"/>
                  <w:smallCaps w:val="false"/>
                  <w:sz w:val="20"/>
                </w:rPr>
                <w:t>Item 9A.</w:t>
              </w:r>
            </w:hyperlink>
          </w:p>
        </w:tc>
        <w:tc>
          <w:tcPr>
            <w:tcW w:w="8823" w:type="dxa"/>
            <w:tcBorders/>
            <w:vAlign w:val="center"/>
          </w:tcPr>
          <w:p>
            <w:pPr>
              <w:pStyle w:val="TableContents"/>
              <w:bidi w:val="0"/>
              <w:spacing w:before="0" w:after="0"/>
              <w:ind w:left="0" w:right="0" w:hanging="0"/>
              <w:jc w:val="left"/>
              <w:rPr/>
            </w:pPr>
            <w:hyperlink w:anchor="Item9AControlsandProcedures_710755">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811" w:type="dxa"/>
            <w:tcBorders/>
            <w:vAlign w:val="center"/>
          </w:tcPr>
          <w:p>
            <w:pPr>
              <w:pStyle w:val="TableContents"/>
              <w:bidi w:val="0"/>
              <w:spacing w:before="0" w:after="0"/>
              <w:ind w:left="0" w:right="0" w:hanging="0"/>
              <w:jc w:val="left"/>
              <w:rPr/>
            </w:pPr>
            <w:hyperlink w:anchor="Item9BOtherInformation_895714">
              <w:r>
                <w:rPr>
                  <w:rStyle w:val="InternetLink"/>
                  <w:rFonts w:ascii="Times New Roman;Times;serif" w:hAnsi="Times New Roman;Times;serif"/>
                  <w:b w:val="false"/>
                  <w:i w:val="false"/>
                  <w:caps w:val="false"/>
                  <w:smallCaps w:val="false"/>
                  <w:sz w:val="20"/>
                </w:rPr>
                <w:t>Item 9B</w:t>
              </w:r>
            </w:hyperlink>
            <w:r>
              <w:rPr>
                <w:rFonts w:ascii="Times New Roman;Times;serif" w:hAnsi="Times New Roman;Times;serif"/>
                <w:sz w:val="20"/>
              </w:rPr>
              <w:t>.</w:t>
            </w:r>
          </w:p>
        </w:tc>
        <w:tc>
          <w:tcPr>
            <w:tcW w:w="8823" w:type="dxa"/>
            <w:tcBorders/>
            <w:vAlign w:val="center"/>
          </w:tcPr>
          <w:p>
            <w:pPr>
              <w:pStyle w:val="TableContents"/>
              <w:bidi w:val="0"/>
              <w:spacing w:before="0" w:after="0"/>
              <w:ind w:left="0" w:right="0" w:hanging="0"/>
              <w:jc w:val="left"/>
              <w:rPr/>
            </w:pPr>
            <w:hyperlink w:anchor="Item9BOtherInformation_895714">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811"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b w:val="false"/>
                  <w:i w:val="false"/>
                  <w:caps w:val="false"/>
                  <w:smallCaps w:val="false"/>
                  <w:sz w:val="20"/>
                </w:rPr>
                <w:t>Item 9C.</w:t>
              </w:r>
            </w:hyperlink>
          </w:p>
        </w:tc>
        <w:tc>
          <w:tcPr>
            <w:tcW w:w="8823"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811" w:type="dxa"/>
            <w:tcBorders/>
            <w:vAlign w:val="center"/>
          </w:tcPr>
          <w:p>
            <w:pPr>
              <w:pStyle w:val="TableContents"/>
              <w:bidi w:val="0"/>
              <w:spacing w:before="0" w:after="240"/>
              <w:ind w:left="0" w:right="0" w:hanging="0"/>
              <w:jc w:val="left"/>
              <w:rPr/>
            </w:pPr>
            <w:r>
              <w:rPr/>
              <w:t>​</w:t>
            </w:r>
          </w:p>
        </w:tc>
        <w:tc>
          <w:tcPr>
            <w:tcW w:w="8823"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PARTIII_44466">
              <w:r>
                <w:rPr>
                  <w:rStyle w:val="InternetLink"/>
                  <w:rFonts w:ascii="Times New Roman;Times;serif" w:hAnsi="Times New Roman;Times;serif"/>
                  <w:b w:val="false"/>
                  <w:i w:val="false"/>
                  <w:caps w:val="false"/>
                  <w:smallCaps w:val="false"/>
                  <w:sz w:val="20"/>
                </w:rPr>
                <w:t>Part III.</w:t>
              </w:r>
            </w:hyperlink>
          </w:p>
        </w:tc>
        <w:tc>
          <w:tcPr>
            <w:tcW w:w="8823"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823"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811" w:type="dxa"/>
            <w:tcBorders/>
            <w:vAlign w:val="center"/>
          </w:tcPr>
          <w:p>
            <w:pPr>
              <w:pStyle w:val="TableContents"/>
              <w:bidi w:val="0"/>
              <w:spacing w:before="0" w:after="0"/>
              <w:ind w:left="0" w:right="0" w:hanging="0"/>
              <w:jc w:val="left"/>
              <w:rPr/>
            </w:pPr>
            <w:hyperlink w:anchor="Item_11">
              <w:r>
                <w:rPr>
                  <w:rStyle w:val="InternetLink"/>
                  <w:rFonts w:ascii="Times New Roman;Times;serif" w:hAnsi="Times New Roman;Times;serif"/>
                  <w:b w:val="false"/>
                  <w:i w:val="false"/>
                  <w:caps w:val="false"/>
                  <w:smallCaps w:val="false"/>
                  <w:sz w:val="20"/>
                </w:rPr>
                <w:t>Item 11.</w:t>
              </w:r>
            </w:hyperlink>
          </w:p>
        </w:tc>
        <w:tc>
          <w:tcPr>
            <w:tcW w:w="8823" w:type="dxa"/>
            <w:tcBorders/>
            <w:vAlign w:val="center"/>
          </w:tcPr>
          <w:p>
            <w:pPr>
              <w:pStyle w:val="TableContents"/>
              <w:bidi w:val="0"/>
              <w:spacing w:before="0" w:after="0"/>
              <w:ind w:left="0" w:right="0" w:hanging="0"/>
              <w:jc w:val="left"/>
              <w:rPr/>
            </w:pPr>
            <w:hyperlink w:anchor="Item_11">
              <w:r>
                <w:rPr>
                  <w:rStyle w:val="InternetLink"/>
                  <w:rFonts w:ascii="Times New Roman;Times;serif" w:hAnsi="Times New Roman;Times;serif"/>
                  <w:b w:val="false"/>
                  <w:i w:val="false"/>
                  <w:caps w:val="false"/>
                  <w:smallCaps w:val="false"/>
                  <w:sz w:val="20"/>
                </w:rPr>
                <w:t>Executive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811" w:type="dxa"/>
            <w:tcBorders/>
            <w:vAlign w:val="center"/>
          </w:tcPr>
          <w:p>
            <w:pPr>
              <w:pStyle w:val="TableContents"/>
              <w:bidi w:val="0"/>
              <w:spacing w:before="0" w:after="0"/>
              <w:ind w:left="0" w:right="0" w:hanging="0"/>
              <w:jc w:val="left"/>
              <w:rPr/>
            </w:pPr>
            <w:hyperlink w:anchor="Item_12">
              <w:r>
                <w:rPr>
                  <w:rStyle w:val="InternetLink"/>
                  <w:rFonts w:ascii="Times New Roman;Times;serif" w:hAnsi="Times New Roman;Times;serif"/>
                  <w:b w:val="false"/>
                  <w:i w:val="false"/>
                  <w:caps w:val="false"/>
                  <w:smallCaps w:val="false"/>
                  <w:sz w:val="20"/>
                </w:rPr>
                <w:t>Item 12.</w:t>
              </w:r>
            </w:hyperlink>
          </w:p>
        </w:tc>
        <w:tc>
          <w:tcPr>
            <w:tcW w:w="8823" w:type="dxa"/>
            <w:tcBorders/>
            <w:vAlign w:val="center"/>
          </w:tcPr>
          <w:p>
            <w:pPr>
              <w:pStyle w:val="TableContents"/>
              <w:bidi w:val="0"/>
              <w:spacing w:before="0" w:after="0"/>
              <w:ind w:left="0" w:right="0" w:hanging="0"/>
              <w:jc w:val="left"/>
              <w:rPr/>
            </w:pPr>
            <w:hyperlink w:anchor="Item_12">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811" w:type="dxa"/>
            <w:tcBorders/>
            <w:vAlign w:val="center"/>
          </w:tcPr>
          <w:p>
            <w:pPr>
              <w:pStyle w:val="TableContents"/>
              <w:bidi w:val="0"/>
              <w:spacing w:before="0" w:after="0"/>
              <w:ind w:left="0" w:right="0" w:hanging="0"/>
              <w:jc w:val="left"/>
              <w:rPr/>
            </w:pPr>
            <w:hyperlink w:anchor="Item_13">
              <w:r>
                <w:rPr>
                  <w:rStyle w:val="InternetLink"/>
                  <w:rFonts w:ascii="Times New Roman;Times;serif" w:hAnsi="Times New Roman;Times;serif"/>
                  <w:b w:val="false"/>
                  <w:i w:val="false"/>
                  <w:caps w:val="false"/>
                  <w:smallCaps w:val="false"/>
                  <w:sz w:val="20"/>
                </w:rPr>
                <w:t>Item 13.</w:t>
              </w:r>
            </w:hyperlink>
          </w:p>
        </w:tc>
        <w:tc>
          <w:tcPr>
            <w:tcW w:w="8823" w:type="dxa"/>
            <w:tcBorders/>
            <w:vAlign w:val="center"/>
          </w:tcPr>
          <w:p>
            <w:pPr>
              <w:pStyle w:val="TableContents"/>
              <w:bidi w:val="0"/>
              <w:spacing w:before="0" w:after="0"/>
              <w:ind w:left="0" w:right="0" w:hanging="0"/>
              <w:jc w:val="left"/>
              <w:rPr/>
            </w:pPr>
            <w:hyperlink w:anchor="Item_1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811" w:type="dxa"/>
            <w:tcBorders/>
            <w:vAlign w:val="center"/>
          </w:tcPr>
          <w:p>
            <w:pPr>
              <w:pStyle w:val="TableContents"/>
              <w:bidi w:val="0"/>
              <w:spacing w:before="0" w:after="0"/>
              <w:ind w:left="0" w:right="0" w:hanging="0"/>
              <w:jc w:val="left"/>
              <w:rPr/>
            </w:pPr>
            <w:hyperlink w:anchor="Item_14">
              <w:r>
                <w:rPr>
                  <w:rStyle w:val="InternetLink"/>
                  <w:rFonts w:ascii="Times New Roman;Times;serif" w:hAnsi="Times New Roman;Times;serif"/>
                  <w:b w:val="false"/>
                  <w:i w:val="false"/>
                  <w:caps w:val="false"/>
                  <w:smallCaps w:val="false"/>
                  <w:sz w:val="20"/>
                </w:rPr>
                <w:t>Item 14.</w:t>
              </w:r>
            </w:hyperlink>
          </w:p>
        </w:tc>
        <w:tc>
          <w:tcPr>
            <w:tcW w:w="8823" w:type="dxa"/>
            <w:tcBorders/>
            <w:vAlign w:val="center"/>
          </w:tcPr>
          <w:p>
            <w:pPr>
              <w:pStyle w:val="TableContents"/>
              <w:bidi w:val="0"/>
              <w:spacing w:before="0" w:after="0"/>
              <w:ind w:left="0" w:right="0" w:hanging="0"/>
              <w:jc w:val="left"/>
              <w:rPr/>
            </w:pPr>
            <w:hyperlink w:anchor="Item_14">
              <w:r>
                <w:rPr>
                  <w:rStyle w:val="InternetLink"/>
                  <w:rFonts w:ascii="Times New Roman;Times;serif" w:hAnsi="Times New Roman;Times;serif"/>
                  <w:b w:val="false"/>
                  <w:i w:val="false"/>
                  <w:caps w:val="false"/>
                  <w:smallCaps w:val="false"/>
                  <w:sz w:val="20"/>
                </w:rPr>
                <w:t>Principal Accounting Fees and Services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811" w:type="dxa"/>
            <w:tcBorders/>
            <w:vAlign w:val="center"/>
          </w:tcPr>
          <w:p>
            <w:pPr>
              <w:pStyle w:val="TableContents"/>
              <w:bidi w:val="0"/>
              <w:spacing w:before="0" w:after="240"/>
              <w:ind w:left="0" w:right="0" w:hanging="0"/>
              <w:jc w:val="left"/>
              <w:rPr/>
            </w:pPr>
            <w:r>
              <w:rPr/>
              <w:t>​</w:t>
            </w:r>
          </w:p>
        </w:tc>
        <w:tc>
          <w:tcPr>
            <w:tcW w:w="8823"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PARTIV_900935">
              <w:r>
                <w:rPr>
                  <w:rStyle w:val="InternetLink"/>
                  <w:rFonts w:ascii="Times New Roman;Times;serif" w:hAnsi="Times New Roman;Times;serif"/>
                  <w:b w:val="false"/>
                  <w:i w:val="false"/>
                  <w:caps w:val="false"/>
                  <w:smallCaps w:val="false"/>
                  <w:sz w:val="20"/>
                </w:rPr>
                <w:t>Part IV.</w:t>
              </w:r>
            </w:hyperlink>
          </w:p>
        </w:tc>
        <w:tc>
          <w:tcPr>
            <w:tcW w:w="8823"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823"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and Financial Statement Schedules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811" w:type="dxa"/>
            <w:tcBorders/>
            <w:vAlign w:val="center"/>
          </w:tcPr>
          <w:p>
            <w:pPr>
              <w:pStyle w:val="TableContents"/>
              <w:bidi w:val="0"/>
              <w:spacing w:before="0" w:after="0"/>
              <w:ind w:left="0" w:right="0" w:hanging="0"/>
              <w:jc w:val="left"/>
              <w:rPr/>
            </w:pPr>
            <w:hyperlink w:anchor="Item16Form10KSummary_689937">
              <w:r>
                <w:rPr>
                  <w:rStyle w:val="InternetLink"/>
                  <w:rFonts w:ascii="Times New Roman;Times;serif" w:hAnsi="Times New Roman;Times;serif"/>
                  <w:b w:val="false"/>
                  <w:i w:val="false"/>
                  <w:caps w:val="false"/>
                  <w:smallCaps w:val="false"/>
                  <w:sz w:val="20"/>
                </w:rPr>
                <w:t>Item 16.</w:t>
              </w:r>
            </w:hyperlink>
          </w:p>
        </w:tc>
        <w:tc>
          <w:tcPr>
            <w:tcW w:w="8823" w:type="dxa"/>
            <w:tcBorders/>
            <w:vAlign w:val="center"/>
          </w:tcPr>
          <w:p>
            <w:pPr>
              <w:pStyle w:val="TableContents"/>
              <w:bidi w:val="0"/>
              <w:spacing w:before="0" w:after="0"/>
              <w:ind w:left="0" w:right="0" w:hanging="0"/>
              <w:jc w:val="left"/>
              <w:rPr/>
            </w:pPr>
            <w:hyperlink w:anchor="Item16Form10KSummary_689937">
              <w:r>
                <w:rPr>
                  <w:rStyle w:val="InternetLink"/>
                  <w:rFonts w:ascii="Times New Roman;Times;serif" w:hAnsi="Times New Roman;Times;serif"/>
                  <w:b w:val="false"/>
                  <w:i w:val="false"/>
                  <w:caps w:val="false"/>
                  <w:smallCaps w:val="false"/>
                  <w:sz w:val="20"/>
                </w:rPr>
                <w:t>Form 10-K Summary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811" w:type="dxa"/>
            <w:tcBorders/>
            <w:vAlign w:val="center"/>
          </w:tcPr>
          <w:p>
            <w:pPr>
              <w:pStyle w:val="TableContents"/>
              <w:bidi w:val="0"/>
              <w:spacing w:before="0" w:after="24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SIGNATURES_328256">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 w:name="FORWARDLOOKINGSTATEMENTS_331203"/>
      <w:bookmarkStart w:id="32" w:name="_9581b9fc_938f_47fe_8a82_3c63a40e5c7b"/>
      <w:bookmarkEnd w:id="31"/>
      <w:bookmarkEnd w:id="32"/>
      <w:r>
        <w:rPr>
          <w:rFonts w:ascii="Times New Roman;Times;serif" w:hAnsi="Times New Roman;Times;serif"/>
          <w:b/>
          <w:sz w:val="20"/>
        </w:rPr>
        <w:t>FORWARD-LOOKING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Annual Report on Form 10-K, other than statements of historical fact, are forward-looking statements, including, without limitation, statements regarding:</w:t>
      </w:r>
    </w:p>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and continue as a going concern;</w:t>
            </w:r>
          </w:p>
        </w:tc>
      </w:tr>
    </w:tbl>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3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sales strategy for IGALMI</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listed on the Nasdaq Capital market;</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covenants under our financing arrangements;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SERENITY and TRANQUILITY programs;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our total addressable markets and related underlying estimates;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clinical trials and marketing applications for our product candidates;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current and future product candidates;</w:t>
            </w:r>
          </w:p>
        </w:tc>
      </w:tr>
    </w:tbl>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seek to enter into collaborations for the development and commercialization of certain product candidates;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any future collaboration;</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regulatory approvals for our product candidates;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results of discussions we have with regulators;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rate and degree of market acceptance, clinical utility, number of prescribers and formulary wins of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any product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marketing and manufacturing capabilities and strategy, including the potential benefits from any advertising campaigns;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participation in, and any potential benefits from, events, conferences, presentations and conventions;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and strategy;</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 capital requirements and need for additional financing;</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investments in, or other strategic options for, our subsidiary, OnkosXcel Therapeutics, LLC (“OnkosXcel”);</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related to legal proceedings and investigations; and</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BioXcel LLC.</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Part I, Item 1A. “Risk Factors,” Part II, Item 7. “Management’s Discussion and Analysis of Financial Condition and Results of Operations” and elsewhere in this Annual Report on Form 10-K.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such forward-looking statements at some point in the future, we disclaim any obligation to do so, even if subsequent events cause our views to change.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As used in this Annual Report on Form 10-K, unless otherwise specified or the context otherwise requires, the terms “we,” “our,” “us,” the “Company” or “BTI” refer to BioXcel Therapeutics, Inc., and “BioXcel, LLC” refers to the Company’s former parent company and stockholder, BioXcel LLC, and its predecessor, BioXcel Corporation. All brand names or trademarks appearing in this Annual Report on Form 10-K are the property of their respective owners, including IGALMI</w:t>
      </w:r>
      <w:r>
        <w:rPr>
          <w:rFonts w:ascii="Times New Roman;Times;serif" w:hAnsi="Times New Roman;Times;serif"/>
          <w:sz w:val="15"/>
        </w:rPr>
        <w:t>®</w:t>
      </w:r>
      <w:r>
        <w:rPr>
          <w:rFonts w:ascii="Times New Roman;Times;serif" w:hAnsi="Times New Roman;Times;serif"/>
          <w:sz w:val="20"/>
        </w:rPr>
        <w:t>, which is a trademark of BioXcel Therapeutics, Inc.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may use our website as a distribution channel of material information about the Company. Financial and other important information regarding the Company is routinely posted on and accessible through the Investors &amp; Media section of its website at </w:t>
      </w:r>
      <w:r>
        <w:rPr>
          <w:rFonts w:ascii="Times New Roman;Times;serif" w:hAnsi="Times New Roman;Times;serif"/>
          <w:i/>
          <w:sz w:val="20"/>
        </w:rPr>
        <w:t>www.bioxceltherapeutics.com</w:t>
      </w:r>
      <w:r>
        <w:rPr>
          <w:rFonts w:ascii="Times New Roman;Times;serif" w:hAnsi="Times New Roman;Times;serif"/>
          <w:sz w:val="20"/>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Times;serif" w:hAnsi="Times New Roman;Times;serif"/>
          <w:i/>
          <w:sz w:val="20"/>
        </w:rPr>
        <w:t>www.bioxceltherapeutics.com</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SummaryRiskFactors"/>
      <w:bookmarkEnd w:id="33"/>
      <w:r>
        <w:rPr>
          <w:rFonts w:ascii="Times New Roman;Times;serif" w:hAnsi="Times New Roman;Times;serif"/>
          <w:b/>
          <w:sz w:val="20"/>
        </w:rPr>
        <w:t>SUMMARY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conditions and events that raise substantial doubt about our ability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have not generated substantial product revenues to date, which may make it difficult to evaluate the success of our business to date and to assess our future viability.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inception and anticipate that we will continue to incur substantial operating losses for the foreseeable future and may never achieve or maintain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will need substantial additional funding, and if we are unable to raise capital when needed, we could be forced to delay, reduce or eliminate our product development programs or commercialization efforts or otherwise seek strategic alternatives.</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maintain compliance with the listing standards of the Nasdaq Capital Market, Nasdaq may delist our common stock from trading on its exchange, which could limit investors' ability to make transactions in our securities and subject us to additional trading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clinical reprioritization and other workforce reductions in force may not achieve our intended outcome.</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in drug discovery and drug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and may also subject us to additional risks and uncertainties, including regulatory, stockholder or other actions, loss of investor confidence and negative impacts on the trading price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In the near term, we are dependent on the success of IGALMI</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and our lead product candidate, BXCL501. If we are unable to complete the clinical development of or obtain marketing approval for our product candidates or successfully commercialize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or our lead product candidate, either alone or with a collaborator, or if we experience significant delays in doing so, our business could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are expensive, difficult to design, difficult to conduct and involve an uncertain outcome.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enrollment of patients in our clinical trials to continue development of our product candidates. If we are unable to enroll patients in our clinical trials, our research and development efforts could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Although the FDA has approved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for the acute treatment of agitation associated with schizophrenia or bipolar I or II disorder, we will still face extensive and ongoing regulatory requirements and obligations for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for any product candidates for which we obtain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Although we obtained FDA approval for IGALMI</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our products and product candidates may not be accepted by physicians or the medical community in general, and there may be insufficient insurance coverage and reimbursement.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in violation of federal, state or foreign health care “fraud and abuse” laws, we may be required to pay significant fines and penalties, which may adversely affect our business, financial condition and results of operations.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depend on BioXcel LLC to provide us with certain services for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We are substantially dependent on third parties for the manufacture of our clinical supplies of our product candidates, and our commercial supplies of IGALMI</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and we intend to rely on third parties to produce commercial supplies of any other approved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breaches or cyber-attacks could disrupt our business, operations and information technology systems, and financial results, or result in the loss or exposure of confidential or sensitive Company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are and may in the future be subject to legal proceedings, claims and investigations in or outside the ordinary course of business. Such proceedings,</w:t>
            </w:r>
            <w:r>
              <w:rPr>
                <w:caps w:val="false"/>
                <w:smallCaps w:val="false"/>
              </w:rPr>
              <w:t xml:space="preserve"> </w:t>
            </w:r>
            <w:r>
              <w:rPr>
                <w:rFonts w:ascii="Times New Roman;Times;serif" w:hAnsi="Times New Roman;Times;serif"/>
                <w:b w:val="false"/>
                <w:i w:val="false"/>
                <w:caps w:val="false"/>
                <w:smallCaps w:val="false"/>
                <w:sz w:val="20"/>
              </w:rPr>
              <w:t>claims and investigations could be costly and time-consuming to defend and could result in unfavorable outcomes, which may have a material adverse effect on our business, operating results and financial condition, and negatively affect the price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global political or economic events and conditions could adversely affect our business, financial condition or results of operations.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associated with the increased scrutiny relating to environmental, social and governance matters.</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and costly to protect our proprietary rights, and we may not be able to ensure their protection.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TRADEMARKS, TRADE NAMES AND SERVICE MARKS</w:t>
      </w:r>
    </w:p>
    <w:p>
      <w:pPr>
        <w:pStyle w:val="TextBody"/>
        <w:bidi w:val="0"/>
        <w:spacing w:before="0" w:after="240"/>
        <w:ind w:left="0" w:right="0" w:firstLine="360"/>
        <w:jc w:val="left"/>
        <w:rPr/>
      </w:pPr>
      <w:r>
        <w:rPr/>
        <w: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This Annual Report includes our trademarks, trade names and service marks, including, without limitation, “IGALMI</w:t>
      </w:r>
      <w:r>
        <w:rPr>
          <w:rFonts w:ascii="Times New Roman;Times;serif" w:hAnsi="Times New Roman;Times;serif"/>
          <w:sz w:val="15"/>
        </w:rPr>
        <w:t>®</w:t>
      </w:r>
      <w:r>
        <w:rPr>
          <w:rFonts w:ascii="Times New Roman;Times;serif" w:hAnsi="Times New Roman;Times;serif"/>
          <w:sz w:val="20"/>
        </w:rPr>
        <w:t>” and our logo, which are our property and are protected under applicable intellectual property laws. Solely for convenience, trademarks, trade names and service marks may appear in this Annual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INDUSTRY AND OTHER DATA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Unless otherwise indicated, information contained in this Annual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Annual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Annual Report under “Forward Looking Statements,” “Risk Factor Summary” and Part I, Item 1A “Risk Factors.” These and other factors could cause our future performance and market expectations to differ materially from our assumptions and estimates.</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 w:name="PARTI_674733"/>
      <w:bookmarkStart w:id="35" w:name="_80f1e02f_edf2_4a57_826e_e70d1d61eca1"/>
      <w:bookmarkEnd w:id="34"/>
      <w:bookmarkEnd w:id="35"/>
      <w:r>
        <w:rPr>
          <w:rFonts w:ascii="Times New Roman;Times;serif" w:hAnsi="Times New Roman;Times;serif"/>
          <w:b/>
          <w:sz w:val="20"/>
        </w:rPr>
        <w:t>PART I</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bookmarkStart w:id="36" w:name="Item1Business_810543"/>
      <w:bookmarkStart w:id="37" w:name="_90d4a087_b5dc_4a18_9872_623dc5d0e13a"/>
      <w:bookmarkEnd w:id="36"/>
      <w:bookmarkEnd w:id="37"/>
      <w:r>
        <w:rPr>
          <w:rFonts w:ascii="Times New Roman;Times;serif" w:hAnsi="Times New Roman;Times;serif"/>
          <w:b/>
          <w:sz w:val="20"/>
        </w:rPr>
        <w:t>Item 1. Business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BioXcel Therapeutics, Inc. (Nasdaq: BTAI, “the Company”) is a biopharmaceutical company built on artificial intelligence (“AI”) to develop transformative medicines in neuroscience. Our wholly owned subsidiary, OnkosXcel Therapeutics, is focused on the development of medicines in immuno-oncology. We have utilized cutting-edge technology and innovative research to develop high-value therapeutics aimed at transforming patients’ lives. We developed a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proven its potential to reduce the expense and time associated with drug development in diseases with substantial unmet medical needs.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Business</w:t>
      </w:r>
    </w:p>
    <w:p>
      <w:pPr>
        <w:pStyle w:val="TextBody"/>
        <w:shd w:fill="FFFFFF" w:val="clear"/>
        <w:bidi w:val="0"/>
        <w:spacing w:before="0" w:after="0"/>
        <w:ind w:left="0" w:right="0" w:hanging="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Our most advanced neuroscience candidate is BXCL501. In indications other than those approved by the U.S. Food and Drug Administration (FDA) as IGALMI</w:t>
      </w:r>
      <w:r>
        <w:rPr>
          <w:rFonts w:ascii="Times New Roman;Times;serif" w:hAnsi="Times New Roman;Times;serif"/>
          <w:sz w:val="15"/>
        </w:rPr>
        <w:t>®</w:t>
      </w:r>
      <w:r>
        <w:rPr>
          <w:rFonts w:ascii="Times New Roman;Times;serif" w:hAnsi="Times New Roman;Times;serif"/>
          <w:sz w:val="20"/>
        </w:rPr>
        <w:t>, BXCL501 is an investigational, proprietary, orally dissolving sublingual film formulation of dexmedetomidine in development for the treatment of agitation associated with psychiatric and neurological disorders. Our most advanced immuno-oncology asset, BXCL701, is an investigational oral innate immune activator from OnkosXcel Therapeutics as a potential therapy for the treatment of aggressive forms of prostate cancer, pancreatic cancer, and other solid and liquid tumors.</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April 6, 2022, we announced that the FDA approved IGALMI</w:t>
      </w:r>
      <w:r>
        <w:rPr>
          <w:rFonts w:ascii="Times New Roman;Times;serif" w:hAnsi="Times New Roman;Times;serif"/>
          <w:sz w:val="15"/>
        </w:rPr>
        <w:t>®</w:t>
      </w:r>
      <w:r>
        <w:rPr>
          <w:rFonts w:ascii="Times New Roman;Times;serif" w:hAnsi="Times New Roman;Times;serif"/>
          <w:sz w:val="20"/>
        </w:rPr>
        <w:t xml:space="preserve"> (dexmedetomidine) sublingual film for the acute treatment of agitation associated with schizophrenia or bipolar I or II disorder in adults. IGALMI</w:t>
      </w:r>
      <w:r>
        <w:rPr>
          <w:rFonts w:ascii="Times New Roman;Times;serif" w:hAnsi="Times New Roman;Times;serif"/>
          <w:sz w:val="15"/>
        </w:rPr>
        <w:t>®</w:t>
      </w:r>
      <w:r>
        <w:rPr>
          <w:rFonts w:ascii="Times New Roman;Times;serif" w:hAnsi="Times New Roman;Times;serif"/>
          <w:sz w:val="20"/>
        </w:rPr>
        <w:t xml:space="preserve"> is approved to be self-administrated by patients under the supervision of a health care provider. On July 6, 2022, we announced that IGALMI</w:t>
      </w:r>
      <w:r>
        <w:rPr>
          <w:rFonts w:ascii="Times New Roman;Times;serif" w:hAnsi="Times New Roman;Times;serif"/>
          <w:sz w:val="15"/>
        </w:rPr>
        <w:t>®</w:t>
      </w:r>
      <w:r>
        <w:rPr>
          <w:rFonts w:ascii="Times New Roman;Times;serif" w:hAnsi="Times New Roman;Times;serif"/>
          <w:sz w:val="20"/>
        </w:rPr>
        <w:t xml:space="preserve"> was commercially available in doses of 120 and 180 micrograms (“mcg”).</w:t>
      </w:r>
    </w:p>
    <w:p>
      <w:pPr>
        <w:pStyle w:val="TextBody"/>
        <w:shd w:fill="FFFFFF" w:val="clear"/>
        <w:bidi w:val="0"/>
        <w:spacing w:before="0" w:after="0"/>
        <w:ind w:left="0" w:right="0" w:hanging="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August 27, 2025 we announced that the SERENITY At-Home Pivotal Phase 3 trial evaluating the safety of BXCL501, as an acute treatment for agitation associated with bipolar disorders or schizophrenia in the at-home setting met its primary objective. The data from this successful study formed the basis of the sNDA submission for a label expansion of IGALMI</w:t>
      </w:r>
      <w:r>
        <w:rPr>
          <w:rFonts w:ascii="Times New Roman;Times;serif" w:hAnsi="Times New Roman;Times;serif"/>
          <w:sz w:val="15"/>
        </w:rPr>
        <w:t>®</w:t>
      </w:r>
      <w:r>
        <w:rPr>
          <w:rFonts w:ascii="Times New Roman;Times;serif" w:hAnsi="Times New Roman;Times;serif"/>
          <w:sz w:val="20"/>
        </w:rPr>
        <w:t xml:space="preserve"> into the at-home setting. The sNDA was submitted to the FDA on January 14, 2026.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September 10, 2025 we further announced positive topline exploratory efficacy data from the SERENITY At-Home Pivotal Phase 3 safety trial, which demonstrated BXCL501 had continued effects and consistent benefit with repeat dosing.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October 10, 2025 we announced positive results from a correlation study related to exploratory efficacy outcomes from the SERENITY At-Home trial. The results demonstrated a strong correlation between the clinician assessments and the patient or caregiver (informant) assessments. The results, along with the data from the SERENITY At-Home trial, have been included in the sNDA submission that was filed with the FDA on January 14,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TRANQUILITY program is designed to evaluate BXCL501 as a potential treatment option for agitation associated with Alzheimer’s dementia in the outpatient or at-home setting and in-care facilities. We have completed one Phase 3 in care trial in this program (see below under late-stage clinical trials). We have had several FDA meetings to discuss the development program, and the FDA has commented on the proposed protocol for our second TRANQUILITY In-Care Phase 3 trial, which is designed to evaluate the efficacy and safety of a 60-mcg dose of BXCL501 for agitation associated with Alzheimer’s dementia. The Company is advancing plans for initiation of the trial upon funding. See further discussion in “</w:t>
      </w:r>
      <w:r>
        <w:rPr>
          <w:rFonts w:ascii="Times New Roman;Times;serif" w:hAnsi="Times New Roman;Times;serif"/>
          <w:i/>
          <w:sz w:val="20"/>
        </w:rPr>
        <w:t>Our Neuroscience Clinical Programs”</w:t>
      </w:r>
      <w:r>
        <w:rPr>
          <w:rFonts w:ascii="Times New Roman;Times;serif" w:hAnsi="Times New Roman;Times;serif"/>
          <w:sz w:val="20"/>
        </w:rPr>
        <w:t xml:space="preserve"> below.</w:t>
      </w:r>
    </w:p>
    <w:p>
      <w:pPr>
        <w:pStyle w:val="TextBody"/>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described further below, we have deprioritized the development of BXCL501 for certain other proposed indications.</w:t>
      </w:r>
    </w:p>
    <w:p>
      <w:pPr>
        <w:pStyle w:val="TextBody"/>
        <w:shd w:fill="FFFFFF" w:val="clear"/>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most advanced immuno-oncology candidate, BXCL701, is an investigational oral innate immune activator from OnkosXcel Therapeutics as a potential therapy for the treatment of aggressive forms of prostate cancer, pancreatic cancer, and other solid and liquid tumors. Development of our BXCL701 programs continues to be deprioritized, except as noted under “Immuno-Oncology” below. </w:t>
      </w:r>
    </w:p>
    <w:p>
      <w:pPr>
        <w:pStyle w:val="TextBody"/>
        <w:shd w:fill="FFFFFF" w:val="clear"/>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2024 Clinical Reprioritization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4, </w:t>
      </w:r>
      <w:r>
        <w:rPr>
          <w:rFonts w:ascii="Times New Roman;Times;serif" w:hAnsi="Times New Roman;Times;serif"/>
          <w:i/>
          <w:sz w:val="20"/>
        </w:rPr>
        <w:t>Restructuring</w:t>
      </w:r>
      <w:r>
        <w:rPr>
          <w:rFonts w:ascii="Times New Roman;Times;serif" w:hAnsi="Times New Roman;Times;serif"/>
          <w:sz w:val="20"/>
        </w:rPr>
        <w:t xml:space="preserve"> in the notes to the consolidated financial statements included elsewhere in this Annual Report on Form 10-K, on May 8, 2024 the Company took actions as part of its continued efforts to preserve cash and prioritize investment in its core clinical programs. These actions are collectively named the (“Clinical Reprioritization”). The Company reduced its workforce by approximately 15% and notified impacted employees on May 8, 2024. All related restructuring costs were paid in the second quarter of 2024.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On September 17, 2024, the Company reduced its workforce an additional 28% to extend its cash runway and prioritize the clinical development of BXCL501. The Company completed the Clinical Reprioritization in October 2024, paid $475 of the related costs during the first quarter of 2025, and paid the remaining $128 during the second quarter of 2025</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Throughout 2024 and 2025 the Company has taken multiple steps to reduce spending and prioritize clinical development activities. </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third quarter of 2025, we also reduced our investment in and utilization of our proprietary AI platform until additional funding is available. </w:t>
      </w:r>
    </w:p>
    <w:p>
      <w:pPr>
        <w:pStyle w:val="TextBody"/>
        <w:bidi w:val="0"/>
        <w:spacing w:before="0" w:after="0"/>
        <w:ind w:left="0" w:right="0" w:firstLine="36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IGALMI</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b/>
          <w:sz w:val="20"/>
        </w:rPr>
        <w:t>Commercialization Strategy</w:t>
      </w:r>
    </w:p>
    <w:p>
      <w:pPr>
        <w:pStyle w:val="TextBody"/>
        <w:bidi w:val="0"/>
        <w:spacing w:before="0" w:after="0"/>
        <w:ind w:left="0" w:right="0" w:firstLine="360"/>
        <w:jc w:val="left"/>
        <w:rPr/>
      </w:pPr>
      <w:r>
        <w:rPr/>
        <w: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are continuing to supply IGALMI</w:t>
      </w:r>
      <w:r>
        <w:rPr>
          <w:rFonts w:ascii="Times New Roman;Times;serif" w:hAnsi="Times New Roman;Times;serif"/>
          <w:sz w:val="15"/>
        </w:rPr>
        <w:t>®</w:t>
      </w:r>
      <w:r>
        <w:rPr>
          <w:rFonts w:ascii="Times New Roman;Times;serif" w:hAnsi="Times New Roman;Times;serif"/>
          <w:sz w:val="20"/>
        </w:rPr>
        <w:t xml:space="preserve"> through existing distribution channels. At the same time, while seeking potential commercial partners, we are maintaining IGALMI’s market presence with minimal commercial resources following our Clinical Reprioritization. Our commercialization efforts are designed to build the foundation to launch additional potential follow-on indications. If IGALMI</w:t>
      </w:r>
      <w:r>
        <w:rPr>
          <w:rFonts w:ascii="Times New Roman;Times;serif" w:hAnsi="Times New Roman;Times;serif"/>
          <w:sz w:val="15"/>
        </w:rPr>
        <w:t>®</w:t>
      </w:r>
      <w:r>
        <w:rPr>
          <w:rFonts w:ascii="Times New Roman;Times;serif" w:hAnsi="Times New Roman;Times;serif"/>
          <w:sz w:val="20"/>
        </w:rPr>
        <w:t xml:space="preserve"> would be approved outside the U.S., we would consider launching the product through collaborations with third parties. However, no foreign applications have been made at this time. On January 12, 2026, we announced the appointment of an Interim Chief Commercial Officer to support the potential launch of IGALMI in the at-home setting.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Neuroscience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Neuroscience Strategy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continue to evaluate all strategic options for our neuroscience assets, which could include licensing, partnering, and co-commercialization.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Novel Drug Re-Innovation Approach</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Prior to our Clinical Reprioritization, we had aimed to deploy and implement, throughout the drug development process, an AI ecosystem designed to rapidly identify medications related to our key focus areas of neuroscience and immuno-oncology. Our in-house, uniquely integrated AI-to-drug-development capability was complemented by the services and technology of BioXcel LLC, our former parent company. It includes a labeled properties graph (also referred to as a “knowledge graph”) that visually relates collected big data in the form of entities and their properties that include neuropsychiatric symptoms, brain circuits, drug targets, and existing drugs. We believe that understanding the relation between entities relevant to drug development may lead to novel potential uses for existing drugs. Predictive algorithms or queries of the knowledge graph may uncover not only single drugs but potentially identify new combinations of drugs that we believe may be more effective in treating disorders than single agents. New combinations of drugs may lower tolerable doses of drugs and provide the basis for stronger intellectual property positions. Our AI team prioritizes the most valuable external opportunities in a data-driven manner. These opportunities may be found in new potential uses for launched drugs, in drugs that are part of pharmaceutical company pipelines no longer being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pursued, or within academic efforts to develop new drug candidates. However, due to our Clinical Reprioritization we have deemphasized our drug re-innovation capabilities.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Traditional drug development is marred by low success rates, long drug development cycles, and exorbitant development costs that are increasing year over year. In addition, many serious diseases remain unaddressed due to limitations of the current drug discovery paradigm. The pharmacological universe spans more than 27,000 active pharmaceutical agents, of which only approximately 4,000 are approved and marketed. Marketed drugs may not be exclusively effective in the indication for which they are approved but relevant to other indications, including rare diseases, and thus represent an untapped potential for addressing unmet medical needs and recouping research and development costs. Many of the remaining agents are active clinical candidates that are shelved or have failed for reasons other than toxicity, which offers the opportunity to re-innovate for other indications or patient segments. Such agents potentially represent an unrealized investment of billions of research and development dollars by the private and public sectors, while failing to remediate immeasurable patient suffering and sacrifice during clinical development. Also, these compounds may have known pharmaco-dynamic and pharmaco-kinetic properties, potentially allowing for a more data-driven selection of appropriate doses for development programs. Finally, with respect to neuropsychiatric indications, we prioritize those compounds with structural design features that we believe may contribute to high blood-brain barrier permeability and therefore could increase the likelihood of compound penetration into the brain. Lack of brain penetration is a common cause for failure of many drugs developed for neuropsychiatric indications. In addition, we are prioritizing compounds with available human safety data, acceptable pharmacokinetic results, and data that support a high probability of achieving reasonable brain concentrations after dosing. The compounds in our pipeline have been identified using this proprietary platform.</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This drug re-innovation model has been exemplified by the successful development and commercialization of drugs such as Tecfidera</w:t>
      </w:r>
      <w:r>
        <w:rPr>
          <w:rFonts w:ascii="Times New Roman;Times;serif" w:hAnsi="Times New Roman;Times;serif"/>
          <w:sz w:val="15"/>
        </w:rPr>
        <w:t>®</w:t>
      </w:r>
      <w:r>
        <w:rPr>
          <w:rFonts w:ascii="Times New Roman;Times;serif" w:hAnsi="Times New Roman;Times;serif"/>
          <w:sz w:val="20"/>
        </w:rPr>
        <w:t xml:space="preserve"> (Biogen, Inc.), Thalomid</w:t>
      </w:r>
      <w:r>
        <w:rPr>
          <w:rFonts w:ascii="Times New Roman;Times;serif" w:hAnsi="Times New Roman;Times;serif"/>
          <w:sz w:val="15"/>
        </w:rPr>
        <w:t>®</w:t>
      </w:r>
      <w:r>
        <w:rPr>
          <w:rFonts w:ascii="Times New Roman;Times;serif" w:hAnsi="Times New Roman;Times;serif"/>
          <w:sz w:val="20"/>
        </w:rPr>
        <w:t xml:space="preserve"> (Celgene Corporation), and Viagra</w:t>
      </w:r>
      <w:r>
        <w:rPr>
          <w:rFonts w:ascii="Times New Roman;Times;serif" w:hAnsi="Times New Roman;Times;serif"/>
          <w:sz w:val="15"/>
        </w:rPr>
        <w:t>®</w:t>
      </w:r>
      <w:r>
        <w:rPr>
          <w:rFonts w:ascii="Times New Roman;Times;serif" w:hAnsi="Times New Roman;Times;serif"/>
          <w:sz w:val="20"/>
        </w:rPr>
        <w:t xml:space="preserve"> (Pfizer, Inc.). All of these drugs were identified by insights in biology and disease pathophysiology. The successful business models of biotech companies like Axsome Therapeutics, Inc. and Karuna Therapeutics, Inc. (acquired by Bristol Myers Squibb) are based on the re-innovation and combination of existing clinical candidates or marketed drugs to provide novel solutions for patients. Unfortunately, such discoveries have been severely limited in scope due to the lack of a genuinely integrated approach to mining big data and advanced analytics.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AI-based discovery and development process was the foundation of our drug re-innovation model for identifying the next wave of potential medicines. Our therapeutic area experts had substantial experience across the drug discovery and development value chain. We believe that our method of finding potential product candidates gives us a higher probability of success because it combines AI expertise and intuition of human experience in drug development. We believe the combination of AI and drug discovery and development expertise facilitates the generation of therapeutic candidates and gives us a significant competitive advantage.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approach is illustrated below:</w:t>
      </w:r>
    </w:p>
    <w:p>
      <w:pPr>
        <w:pStyle w:val="TextBody"/>
        <w:bidi w:val="0"/>
        <w:spacing w:before="0" w:after="0"/>
        <w:ind w:left="0" w:right="0" w:hanging="0"/>
        <w:jc w:val="center"/>
        <w:rPr/>
      </w:pPr>
      <w:r>
        <w:rPr/>
        <w:drawing>
          <wp:inline distT="0" distB="0" distL="0" distR="0">
            <wp:extent cx="6046470" cy="340169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046470" cy="3401695"/>
                    </a:xfrm>
                    <a:prstGeom prst="rect">
                      <a:avLst/>
                    </a:prstGeom>
                  </pic:spPr>
                </pic:pic>
              </a:graphicData>
            </a:graphic>
          </wp:inline>
        </w:drawing>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drug identification platform led to the identification of dexmedetomidine, the rapid development of BXCL501, and its approval by the FDA as IGALMI</w:t>
      </w:r>
      <w:r>
        <w:rPr>
          <w:rFonts w:ascii="Times New Roman;Times;serif" w:hAnsi="Times New Roman;Times;serif"/>
          <w:sz w:val="15"/>
        </w:rPr>
        <w:t>®</w:t>
      </w:r>
      <w:r>
        <w:rPr>
          <w:rFonts w:ascii="Times New Roman;Times;serif" w:hAnsi="Times New Roman;Times;serif"/>
          <w:sz w:val="20"/>
        </w:rPr>
        <w:t xml:space="preserve">, as well as the advancement of BXCL501 for other potential indications.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Neuroscience Clinical Programs and Investigator-Sponsored Trials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is a summary of the status of our major neuroscience clinical development programs as of the date of this Annual Report on Form 10-K: </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163310" cy="309118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163310" cy="3091180"/>
                    </a:xfrm>
                    <a:prstGeom prst="rect">
                      <a:avLst/>
                    </a:prstGeom>
                  </pic:spPr>
                </pic:pic>
              </a:graphicData>
            </a:graphic>
          </wp:inline>
        </w:drawing>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About BXCL501</w:t>
      </w:r>
    </w:p>
    <w:p>
      <w:pPr>
        <w:pStyle w:val="TextBody"/>
        <w:shd w:fill="FFFFFF" w:val="clear"/>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BXCL501 is our most advanced neuroscience clinical candidate. In indications other than those approved by the FDA as IGALMI</w:t>
      </w:r>
      <w:r>
        <w:rPr>
          <w:rFonts w:ascii="Times New Roman;Times;serif" w:hAnsi="Times New Roman;Times;serif"/>
          <w:sz w:val="15"/>
        </w:rPr>
        <w:t>®</w:t>
      </w:r>
      <w:r>
        <w:rPr>
          <w:rFonts w:ascii="Times New Roman;Times;serif" w:hAnsi="Times New Roman;Times;serif"/>
          <w:sz w:val="20"/>
        </w:rPr>
        <w:t xml:space="preserve">, BXCL501 is an investigational, proprietary, orally dissolving sublingual film formulation of dexmedetomidine, a selective alpha-2 receptor agonist, targeting symptoms from stress-related behaviors such as agitation.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a selective adrenergic agent with a sublingual or buccal route of administration, BXCL501 is designed to be easy to administer and has shown a relatively rapid onset of action in multiple clinical trials, including clinical trials studying patients with schizophrenia, bipolar disorders, and dementia associated with Alzheimer’s disease. We believe the results from these studies suggest that BXCL501 has the potential to generate a calming effect without producing excessive sedation. We also believe BXCL501 is highly differentiated from antipsychotics and benzodiazepines, which are currently used as first-line standard-of-care treatment for agitation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and, if approved for the respective indications, has the potential to become the standard of care for the acute treatment of agitation associated with these disorders.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based on its mechanism of action, we believe BXCL501 has the potential to address some behavioral symptoms of several additional diseases or conditions, including opioid use disorder (“OUD”), acute stress disorder (“ASD”) and post-traumatic stress disorder (“PTSD”). BXCL501 is currently being evaluated for treatment of patients with those conditions in clinical trials sponsored by leading academic research institutions. See Government-Supported Investigator-Sponsored Trials (“ISTs”) below.</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Agitation Overview and Market Opportunity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Agitation in patients with neuropsychiatric diseases is a serious medical condition. Agitation is characterized by feelings of unease, excessive talking, and/or unintentional and purposeless motions, such as wringing of the hands or pacing. People experiencing agitation may also express excitement, hostility, poor impulse control, tension, uncooperativeness, and occasional disruptive behavior, which may lead to aggression, violence and self-injurious behavior. In many cases, people develop agitation when treatment for their underlying disorder is not working well. Stressful situations or traumatic events can also trigger agitation. Agitation can occur suddenly or slowly and vary in length, lasting for a few minutes or for an extended period.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estimate that in the United States, there are approximately 1.9 million patients diagnosed with Alzheimer’s disease-related dementia (“AAD”) and that those patients experience agitation at a rate of about six episodes per month, on average. In addition, we estimate that there are approximately 2.3 million Americans diagnosed with schizophrenia or bipolar disorders who experience agitation at home, of whom 1.8 million may be eligible for treatment with BXCL501. Based on our recently completed Serenity At Home Trial we believe that those patients experience agitation at a rate of about three – four episodes per month, on average. We, therefore, believe there is significant potential market opportunity for BXCL501 if approved for use in these patient populations in the at-home setting. The foregoing estimates of the incidence of each patient population and the number of agitation episodes experienced and potential market opportunity are based on management’s estimates and third-party data, which may be materially different from actual agitation episodes and actual treatable patients. For additional information regarding risks associated with these estimates, see Part I, Item 1A, Risk Factors “— </w:t>
      </w:r>
      <w:r>
        <w:rPr>
          <w:rFonts w:ascii="Times New Roman;Times;serif" w:hAnsi="Times New Roman;Times;serif"/>
          <w:i/>
          <w:sz w:val="20"/>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Treatments for Agitation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Antipsychotics, the current standard of care for acute treatment of agitation associated with schizophrenia and bipolar disorder, are also used off label to treat agitation in dementia and other conditions. Side effects of these medications include movement disorders, including akathisia and extrapyramidal symptoms. One of the serious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limitations of these drugs when used in institutional setting is that they can sedate the patient and do not permit verbal interaction with the hospital staff to continue evaluation and treatment. Intramuscular (“IM”)-delivered antipsychotics, such as haloperidol and olanzapine, are used extensively in this setting but are invasive and often require patient restraint. This type of treatment can dehumanize patients and cause trauma that could have long-term impact on them. Furthermore, these treatments include a black box warning for use in elderly patients.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While sublingual tablet formulations utilizing antipsychotics have been developed, these formulations have long half-lives (21-24 hours) and significant side effects when given acutely or chronically. Oral agents such as benzodiazepines are also used but have a slow onset of action and are consequently ineffective in the acute treatment of agitation. Side effects of these agents include sedation, amnesia, confusion, and paradoxical responses. They can intensify cognitive slowing and worsen memory and motor impairment, contributing to an increased risk of falls and fractures. In addition, long-term use of benzodiazepines has been found to be habit-forming and can cause addiction or relapse to abuse substances. Nonadherence with oral agents can also be problematic as patients may attempt to spit out these medications. We believe that, based on the current method of administration of oral medicine for agitation, an orally dissolving, mucoadhesive film could offer compliance advantages by making it less likely that patients will avoid treatment.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sublingual or buccal route of administration is an accepted alternative to oral administration of drug delivery to the central nervous system when rapid onset or more controlled delivery is required. Currently, there are six products approved for film administration, including our product, IGALMI</w:t>
      </w:r>
      <w:r>
        <w:rPr>
          <w:rFonts w:ascii="Times New Roman;Times;serif" w:hAnsi="Times New Roman;Times;serif"/>
          <w:sz w:val="15"/>
        </w:rPr>
        <w:t>®</w:t>
      </w:r>
      <w:r>
        <w:rPr>
          <w:rFonts w:ascii="Times New Roman;Times;serif" w:hAnsi="Times New Roman;Times;serif"/>
          <w:sz w:val="20"/>
        </w:rPr>
        <w:t>. For example, Collegium Pharmaceutical, a commercial-stage specialty pharmaceutical company, has developed a buccal film formulation of buprenorphine for chronic pain management and buprenorphine and naloxone for opioid dependence. We developed BXCL501 as a differentiated sublingual film dosage form of dexmedetomidine, which we believe may offer benefits such as ease of use and quick absorption for rapid therapeutic effects.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Clinical Use of Dexmedetomidine</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IGALMI </w:t>
      </w:r>
      <w:r>
        <w:rPr>
          <w:rFonts w:ascii="Times New Roman;Times;serif" w:hAnsi="Times New Roman;Times;serif"/>
          <w:sz w:val="15"/>
        </w:rPr>
        <w:t>®</w:t>
      </w:r>
      <w:r>
        <w:rPr>
          <w:rFonts w:ascii="Times New Roman;Times;serif" w:hAnsi="Times New Roman;Times;serif"/>
          <w:sz w:val="20"/>
        </w:rPr>
        <w:t xml:space="preserve"> dexmedetomidine sublingual film was approved on March 6, 2022 for the acute treatment of agitation associated with schizophrenia or bipolar I or II disorder in adults. Dexmedetomidine is also approved in the U.S. for the sedation of initially intubated and mechanically ventilated patients during treatment in the intensive care unit (“ICU”). It is also used in the intensive care setting for sedation of non-intubated patients prior to and/or during surgical and other invasive procedures. Dexmedetomidine, launched in the U.S. as Precedex™ in 1999, is a selective α2a adrenergic receptor agonist that has a strong safety record and has been studied in over 130 clinical trials to date. It has also been sold in the European Union (“EU”) and other countries under the trade name Dexdor</w:t>
      </w:r>
      <w:r>
        <w:rPr>
          <w:rFonts w:ascii="Times New Roman;Times;serif" w:hAnsi="Times New Roman;Times;serif"/>
          <w:sz w:val="15"/>
        </w:rPr>
        <w:t>®</w:t>
      </w:r>
      <w:r>
        <w:rPr>
          <w:rFonts w:ascii="Times New Roman;Times;serif" w:hAnsi="Times New Roman;Times;serif"/>
          <w:sz w:val="20"/>
        </w:rPr>
        <w:t xml:space="preserve"> as a sedative for intensive care patients. Dexmedetomidine was approved by the European Commission for sedation of adult ICU patients requiring a sedation level no deeper than arousal in response to verbal stimulation (corresponding to Richmond Agitation-Sedation Scale 0 to -3). It has been used to prevent or treat hyperactive delirium resulting from anesthesia in the ICU. Given these uses of the IV formulation of dexmedetomidine, we believe dexmedetomidine formulated in a sublingual film and at much lower doses allows for ease of administration in settings where rapid acute treatment of agitation is needed.</w:t>
      </w:r>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b/>
          <w:i/>
          <w:sz w:val="20"/>
        </w:rPr>
        <w:t>IGALMI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b/>
          <w:i/>
          <w:sz w:val="20"/>
        </w:rPr>
        <w:t>Commercial Strategy</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We continue to support IGALMI</w:t>
      </w:r>
      <w:r>
        <w:rPr>
          <w:rFonts w:ascii="Times New Roman;Times;serif" w:hAnsi="Times New Roman;Times;serif"/>
          <w:sz w:val="15"/>
        </w:rPr>
        <w:t>®</w:t>
      </w:r>
      <w:r>
        <w:rPr>
          <w:rFonts w:ascii="Times New Roman;Times;serif" w:hAnsi="Times New Roman;Times;serif"/>
          <w:sz w:val="20"/>
        </w:rPr>
        <w:t xml:space="preserve"> in the hospital setting through limited and focused commercial activity.  </w:t>
      </w:r>
    </w:p>
    <w:p>
      <w:pPr>
        <w:pStyle w:val="TextBody"/>
        <w:bidi w:val="0"/>
        <w:spacing w:before="0" w:after="0"/>
        <w:ind w:left="0" w:right="0" w:firstLine="36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Following our Clinical Reprioritization, a small Corporate Account Director team continues to support existing customers and targeted Integrated Delivery Networks (“IDNs”) with educational assistance and contracting opportunities, while our trade operation supports customers with drug supply. The goal of this approach is to help maintain current business and potentially broaden IGALMI</w:t>
      </w:r>
      <w:r>
        <w:rPr>
          <w:rFonts w:ascii="Times New Roman;Times;serif" w:hAnsi="Times New Roman;Times;serif"/>
          <w:sz w:val="15"/>
        </w:rPr>
        <w:t>®</w:t>
      </w:r>
      <w:r>
        <w:rPr>
          <w:rFonts w:ascii="Times New Roman;Times;serif" w:hAnsi="Times New Roman;Times;serif"/>
          <w:sz w:val="20"/>
        </w:rPr>
        <w:t xml:space="preserve"> utilization through volume contracting.</w:t>
      </w:r>
    </w:p>
    <w:p>
      <w:pPr>
        <w:pStyle w:val="TextBody"/>
        <w:shd w:fill="FFFFFF" w:val="clear"/>
        <w:bidi w:val="0"/>
        <w:spacing w:before="0" w:after="0"/>
        <w:ind w:left="0" w:right="0" w:hanging="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The Clinical Reprioritization staff reductions have had future impacts on net revenue. Net revenues from IGALMI</w:t>
      </w:r>
      <w:r>
        <w:rPr>
          <w:rFonts w:ascii="Times New Roman;Times;serif" w:hAnsi="Times New Roman;Times;serif"/>
          <w:sz w:val="15"/>
        </w:rPr>
        <w:t>®</w:t>
      </w:r>
      <w:r>
        <w:rPr>
          <w:rFonts w:ascii="Times New Roman;Times;serif" w:hAnsi="Times New Roman;Times;serif"/>
          <w:sz w:val="20"/>
        </w:rPr>
        <w:t xml:space="preserve"> product sales for the years ended December 31, 2025 and 2024 were $0.6 million and $2.3 million, respectively.</w:t>
      </w:r>
    </w:p>
    <w:p>
      <w:pPr>
        <w:pStyle w:val="TextBody"/>
        <w:shd w:fill="FFFFFF" w:val="clear"/>
        <w:bidi w:val="0"/>
        <w:spacing w:before="0" w:after="0"/>
        <w:ind w:left="0" w:right="0" w:firstLine="360"/>
        <w:jc w:val="left"/>
        <w:rPr/>
      </w:pPr>
      <w:r>
        <w:rPr/>
        <w: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continued commercialization efforts for IGALMI</w:t>
      </w:r>
      <w:r>
        <w:rPr>
          <w:rFonts w:ascii="Times New Roman;Times;serif" w:hAnsi="Times New Roman;Times;serif"/>
          <w:sz w:val="15"/>
        </w:rPr>
        <w:t>®</w:t>
      </w:r>
      <w:r>
        <w:rPr>
          <w:rFonts w:ascii="Times New Roman;Times;serif" w:hAnsi="Times New Roman;Times;serif"/>
          <w:sz w:val="20"/>
        </w:rPr>
        <w:t xml:space="preserve"> are designed to build the foundation to launch additional potential follow-on indications. We also are currently seeking potential commercial partners. If IGALMI</w:t>
      </w:r>
      <w:r>
        <w:rPr>
          <w:rFonts w:ascii="Times New Roman;Times;serif" w:hAnsi="Times New Roman;Times;serif"/>
          <w:sz w:val="15"/>
        </w:rPr>
        <w:t>®</w:t>
      </w:r>
      <w:r>
        <w:rPr>
          <w:rFonts w:ascii="Times New Roman;Times;serif" w:hAnsi="Times New Roman;Times;serif"/>
          <w:sz w:val="20"/>
        </w:rPr>
        <w:t xml:space="preserve"> would be approved outside the U.S., we would consider launching the product through collaborations with third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BXCL501 Development</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a selective alpha-2 receptor agonist with a sublingual or buccal route of administration, BXCL501 is designed to be easily administered and, compared to medications that may take days or weeks to show their full effect,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which are currently used as first-line standard-of-care treatments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also believe that BXCL501, if approved for the respective indications, has the potential to become the standard of care for the acute treatment of agitation arising from diseases such as schizophrenia, bipolar disorder and Alzheimer’s disease.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given the differentiated design of BXCL501 and its mechanism of action, we believe BXCL501 has the potential to address agitation which is a symptom of the condition or underlying disease, including opioid withdrawal and post-traumatic stress disorder (“PTSD”), which are being evaluated in investigator-sponsored trials run by several leading academic research institutions.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BXCL501 Late-Stage Clinical Trials</w:t>
      </w:r>
    </w:p>
    <w:p>
      <w:pPr>
        <w:pStyle w:val="TextBody"/>
        <w:pBdr/>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SERENITY Program: Acute Treatment of Agitation Associated with Bipolar Disorders I and II or Schizophrenia </w:t>
      </w:r>
    </w:p>
    <w:p>
      <w:pPr>
        <w:pStyle w:val="TextBody"/>
        <w:pBdr/>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Under our SERENITY program, we are focused on the continued development of BXCL501 (currently marketed and commercialized as IGALMI</w:t>
      </w:r>
      <w:r>
        <w:rPr>
          <w:rFonts w:ascii="Times New Roman;Times;serif" w:hAnsi="Times New Roman;Times;serif"/>
          <w:sz w:val="15"/>
        </w:rPr>
        <w:t>®</w:t>
      </w:r>
      <w:r>
        <w:rPr>
          <w:rFonts w:ascii="Times New Roman;Times;serif" w:hAnsi="Times New Roman;Times;serif"/>
          <w:sz w:val="20"/>
        </w:rPr>
        <w:t xml:space="preserve">) as a potential treatment option for agitation associated with bipolar I or II disorder or schizophrenia in the outpatient or at-home setting.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completed the clinical study of BXCL501 in patients with agitation associated with bipolar disorders or schizophrenia in SERENITY III, which consisted of two parts. The first part was comparable to our pivotal SERENITY I and II studies. Using similar inclusion and exclusion criterion under a well-controlled in-patient setting, acutely agitated patients with bipolar disorders or schizophrenia were randomized to self-administer either 60 mcg of BXCL501 or placebo in a double-blind placebo-controlled trial. The primary endpoint of Part I was efficacy, as measured by the change in PEC score change from baseline at two hours post-dose. The secondary objectives of Part I were safety and tolerability.</w:t>
      </w:r>
    </w:p>
    <w:p>
      <w:pPr>
        <w:pStyle w:val="TextBody"/>
        <w:pBdr/>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May 25, 2023, we reported topline results from Part I of the study. Although the trial did not meet its primary efficacy endpoint, we believe the efficacy results, observed with the 60-mcg dose, representing half of the lowest approved dose of IGALMI</w:t>
      </w:r>
      <w:r>
        <w:rPr>
          <w:rFonts w:ascii="Times New Roman;Times;serif" w:hAnsi="Times New Roman;Times;serif"/>
          <w:sz w:val="15"/>
        </w:rPr>
        <w:t>®</w:t>
      </w:r>
      <w:r>
        <w:rPr>
          <w:rFonts w:ascii="Times New Roman;Times;serif" w:hAnsi="Times New Roman;Times;serif"/>
          <w:sz w:val="20"/>
        </w:rPr>
        <w:t xml:space="preserve"> for in-patient use (120 mcg), were promising. Specifically, greater than 50% of individuals were responders, defined as those patients who achieved a 40% or greater reduction in PEC score. Furthermore, this population responder rate was consistent and dose-proportionate to the same response rates observed in the larger SERENITY I and II trials. Although the primary efficacy endpoint as a group mean change in PEC score from baseline at 2 hours was not statistically significant at the primary endpoint at 2 hours (p=0.077), BXCL501 separated from placebo at 4 hours (p=0.049). </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Part II of the SERENITY III study was designed to evaluate the same dose tested in Part I, 60 mcg (with an optional additional 60 mcg dose), but in the at-home setting and focusing on safety only. However, because the trial did not meet its primary efficacy endpoint using this 60-mcg dose in Part I, we paused continuation of Part II of the study pending feedback from the FDA. We held a Type C meeting with the FDA on November 8, 2023 to discuss changes to Part II of our SERENITY III study. Based on feedback from the FDA during the meeting, we made the decision to evaluate a 120-mcg dose in the at-home setting. The 120-mcg dose has already demonstrated efficacy based on the approval of IGALMI</w:t>
      </w:r>
      <w:r>
        <w:rPr>
          <w:rFonts w:ascii="Times New Roman;Times;serif" w:hAnsi="Times New Roman;Times;serif"/>
          <w:sz w:val="15"/>
        </w:rPr>
        <w:t>®</w:t>
      </w:r>
      <w:r>
        <w:rPr>
          <w:rFonts w:ascii="Times New Roman;Times;serif" w:hAnsi="Times New Roman;Times;serif"/>
          <w:sz w:val="20"/>
        </w:rPr>
        <w:t xml:space="preserve"> (when administered under the supervision of a healthcare provider, for a single agitation episode), so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sought further feedback from the FDA regarding the proposed design of this study amendment in a request for a follow-up meeting with the FDA, which was held on March 6, 2024.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Based on the FDA’s feedback in advance of and during the March 6, 2024 meeting, we moved forward evaluating the use of the 120 mcg dose of BXCL501 in the at-home setting and amended Part 2 of the SERENITY III study, the SERENITY At-Home trial, with safety as the primary objective and efficacy measures as exploratory endpoints to support use in the at-home setting. This was the FDA’s recommendation in the November 8, 2023 FDA meeting, for the acute treatment of agitation in bipolar disorders or schizophrenia. We also conducted a clinical study that enrolled 33 patients in an open label trial to evaluate the correlation between patient-and informant-reported efficacy measurement and the PEC scale, conducted by trained clinician raters as previously recommended by the FDA. </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IGALMI</w:t>
      </w:r>
      <w:r>
        <w:rPr>
          <w:rFonts w:ascii="Times New Roman;Times;serif" w:hAnsi="Times New Roman;Times;serif"/>
          <w:sz w:val="15"/>
        </w:rPr>
        <w:t>®</w:t>
      </w:r>
      <w:r>
        <w:rPr>
          <w:rFonts w:ascii="Times New Roman;Times;serif" w:hAnsi="Times New Roman;Times;serif"/>
          <w:sz w:val="20"/>
        </w:rPr>
        <w:t xml:space="preserve"> is already approved at the 120-mcg dose based on efficacy data that we previously generated in treating a single episode of agitation. Consistent with the data generated to date, the label for IGALMI</w:t>
      </w:r>
      <w:r>
        <w:rPr>
          <w:rFonts w:ascii="Times New Roman;Times;serif" w:hAnsi="Times New Roman;Times;serif"/>
          <w:sz w:val="15"/>
        </w:rPr>
        <w:t>®</w:t>
      </w:r>
      <w:r>
        <w:rPr>
          <w:rFonts w:ascii="Times New Roman;Times;serif" w:hAnsi="Times New Roman;Times;serif"/>
          <w:sz w:val="20"/>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Times;serif" w:hAnsi="Times New Roman;Times;serif"/>
          <w:sz w:val="15"/>
        </w:rPr>
        <w:t>®</w:t>
      </w:r>
      <w:r>
        <w:rPr>
          <w:rFonts w:ascii="Times New Roman;Times;serif" w:hAnsi="Times New Roman;Times;serif"/>
          <w:sz w:val="20"/>
        </w:rPr>
        <w:t xml:space="preserve"> 120 mcg to allow at-home use and labeling without the current LOU. Based on FDA feedback, we believe that our ability to seek labeling without the current LOU will depend, in part, on the number of agitation episodes we observed during our planned study period.</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18, 2025 we announced that the Company had received positive pre-sNDA meeting responses from the FDA.</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primary purpose of the planned meeting was to gain alignment with the FDA regarding the content and format of the Company’s planned sNDA submission for the at-home (outpatient) use of BXCL501, including the clinical, nonclinical, and chemistry and manufacturing and controls (CMC) requirements. The Company concluded that the objectives of the pre-sNDA meeting had been accomplished based on the FDA’s written responses and determined that the meeting, originally scheduled for August 20, 2025, was no longer required. The pre-sNDA preliminary meeting comments received from FDA on August 14, 2025, will serve as the official record. Acceptance of the sNDA will be subject to the FDA’s review of the complete filing.</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August 27, 2025 we announced that the SERENITY At-Home Pivotal Phase 3 trial evaluating the safety of BXCL501, the Company’s proprietary, sublingual film formulation of dexmedetomidine, as an acute treatment for agitation associated with bipolar disorders or schizophrenia in the at-home setting, met its primary objective. The data from this successful study formed the basis of the sNDA submission for label expansion of IGALMI</w:t>
      </w:r>
      <w:r>
        <w:rPr>
          <w:rFonts w:ascii="Times New Roman;Times;serif" w:hAnsi="Times New Roman;Times;serif"/>
          <w:sz w:val="15"/>
        </w:rPr>
        <w:t>®</w:t>
      </w:r>
      <w:r>
        <w:rPr>
          <w:rFonts w:ascii="Times New Roman;Times;serif" w:hAnsi="Times New Roman;Times;serif"/>
          <w:sz w:val="20"/>
        </w:rPr>
        <w:t xml:space="preserve"> in the at-home setting.</w:t>
      </w:r>
    </w:p>
    <w:p>
      <w:pPr>
        <w:pStyle w:val="TextBody"/>
        <w:shd w:fill="FFFFFF" w:val="clear"/>
        <w:bidi w:val="0"/>
        <w:spacing w:before="0" w:after="0"/>
        <w:ind w:left="0" w:right="0" w:firstLine="360"/>
        <w:jc w:val="left"/>
        <w:rPr/>
      </w:pPr>
      <w:r>
        <w:rPr/>
        <w:t>​</w:t>
      </w:r>
    </w:p>
    <w:p>
      <w:pPr>
        <w:pStyle w:val="TextBody"/>
        <w:shd w:fill="FFFFFF" w:val="clear"/>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SERENITY At-Home Topline Summary</w:t>
      </w:r>
    </w:p>
    <w:tbl>
      <w:tblPr>
        <w:tblW w:w="3096" w:type="dxa"/>
        <w:jc w:val="left"/>
        <w:tblInd w:w="0" w:type="dxa"/>
        <w:shd w:fill="FFFFFF" w:val="clear"/>
        <w:tblLayout w:type="fixed"/>
        <w:tblCellMar>
          <w:top w:w="28" w:type="dxa"/>
          <w:left w:w="28" w:type="dxa"/>
          <w:bottom w:w="28" w:type="dxa"/>
          <w:right w:w="28" w:type="dxa"/>
        </w:tblCellMar>
      </w:tblPr>
      <w:tblGrid>
        <w:gridCol w:w="124"/>
        <w:gridCol w:w="256"/>
        <w:gridCol w:w="271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agitation episodes:</w:t>
            </w:r>
          </w:p>
        </w:tc>
      </w:tr>
    </w:tbl>
    <w:tbl>
      <w:tblPr>
        <w:tblW w:w="3351" w:type="dxa"/>
        <w:jc w:val="left"/>
        <w:tblInd w:w="0" w:type="dxa"/>
        <w:shd w:fill="FFFFFF" w:val="clear"/>
        <w:tblLayout w:type="fixed"/>
        <w:tblCellMar>
          <w:top w:w="28" w:type="dxa"/>
          <w:left w:w="28" w:type="dxa"/>
          <w:bottom w:w="28" w:type="dxa"/>
          <w:right w:w="28" w:type="dxa"/>
        </w:tblCellMar>
      </w:tblPr>
      <w:tblGrid>
        <w:gridCol w:w="124"/>
        <w:gridCol w:w="256"/>
        <w:gridCol w:w="297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246 patients randomized</w:t>
            </w:r>
          </w:p>
        </w:tc>
      </w:tr>
    </w:tbl>
    <w:tbl>
      <w:tblPr>
        <w:tblW w:w="5001" w:type="dxa"/>
        <w:jc w:val="left"/>
        <w:tblInd w:w="0" w:type="dxa"/>
        <w:shd w:fill="FFFFFF" w:val="clear"/>
        <w:tblLayout w:type="fixed"/>
        <w:tblCellMar>
          <w:top w:w="28" w:type="dxa"/>
          <w:left w:w="28" w:type="dxa"/>
          <w:bottom w:w="28" w:type="dxa"/>
          <w:right w:w="28" w:type="dxa"/>
        </w:tblCellMar>
      </w:tblPr>
      <w:tblGrid>
        <w:gridCol w:w="124"/>
        <w:gridCol w:w="256"/>
        <w:gridCol w:w="46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collected 2,628 agitation episodes in 215 patients</w:t>
            </w:r>
          </w:p>
        </w:tc>
      </w:tr>
    </w:tbl>
    <w:tbl>
      <w:tblPr>
        <w:tblW w:w="3666" w:type="dxa"/>
        <w:jc w:val="left"/>
        <w:tblInd w:w="0" w:type="dxa"/>
        <w:shd w:fill="FFFFFF" w:val="clear"/>
        <w:tblLayout w:type="fixed"/>
        <w:tblCellMar>
          <w:top w:w="28" w:type="dxa"/>
          <w:left w:w="28" w:type="dxa"/>
          <w:bottom w:w="28" w:type="dxa"/>
          <w:right w:w="28" w:type="dxa"/>
        </w:tblCellMar>
      </w:tblPr>
      <w:tblGrid>
        <w:gridCol w:w="124"/>
        <w:gridCol w:w="256"/>
        <w:gridCol w:w="328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Treated 2,437 episodes in 208 patients</w:t>
            </w:r>
          </w:p>
        </w:tc>
      </w:tr>
    </w:tbl>
    <w:tbl>
      <w:tblPr>
        <w:tblW w:w="4716" w:type="dxa"/>
        <w:jc w:val="left"/>
        <w:tblInd w:w="0" w:type="dxa"/>
        <w:shd w:fill="FFFFFF" w:val="clear"/>
        <w:tblLayout w:type="fixed"/>
        <w:tblCellMar>
          <w:top w:w="28" w:type="dxa"/>
          <w:left w:w="28" w:type="dxa"/>
          <w:bottom w:w="28" w:type="dxa"/>
          <w:right w:w="28" w:type="dxa"/>
        </w:tblCellMar>
      </w:tblPr>
      <w:tblGrid>
        <w:gridCol w:w="124"/>
        <w:gridCol w:w="256"/>
        <w:gridCol w:w="43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patients (81%) completed the full 12-week trial</w:t>
            </w:r>
          </w:p>
        </w:tc>
      </w:tr>
    </w:tbl>
    <w:tbl>
      <w:tblPr>
        <w:tblW w:w="5616" w:type="dxa"/>
        <w:jc w:val="left"/>
        <w:tblInd w:w="0" w:type="dxa"/>
        <w:shd w:fill="FFFFFF" w:val="clear"/>
        <w:tblLayout w:type="fixed"/>
        <w:tblCellMar>
          <w:top w:w="28" w:type="dxa"/>
          <w:left w:w="28" w:type="dxa"/>
          <w:bottom w:w="28" w:type="dxa"/>
          <w:right w:w="28" w:type="dxa"/>
        </w:tblCellMar>
      </w:tblPr>
      <w:tblGrid>
        <w:gridCol w:w="124"/>
        <w:gridCol w:w="256"/>
        <w:gridCol w:w="52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of 11.7 agitation episodes recorded per treated patient</w:t>
            </w:r>
          </w:p>
        </w:tc>
      </w:tr>
    </w:tbl>
    <w:tbl>
      <w:tblPr>
        <w:tblW w:w="5451" w:type="dxa"/>
        <w:jc w:val="left"/>
        <w:tblInd w:w="0" w:type="dxa"/>
        <w:shd w:fill="FFFFFF" w:val="clear"/>
        <w:tblLayout w:type="fixed"/>
        <w:tblCellMar>
          <w:top w:w="28" w:type="dxa"/>
          <w:left w:w="28" w:type="dxa"/>
          <w:bottom w:w="28" w:type="dxa"/>
          <w:right w:w="28" w:type="dxa"/>
        </w:tblCellMar>
      </w:tblPr>
      <w:tblGrid>
        <w:gridCol w:w="124"/>
        <w:gridCol w:w="256"/>
        <w:gridCol w:w="507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patients were able to successfully self-administer the film</w:t>
            </w:r>
          </w:p>
        </w:tc>
      </w:tr>
    </w:tbl>
    <w:tbl>
      <w:tblPr>
        <w:tblW w:w="7266" w:type="dxa"/>
        <w:jc w:val="left"/>
        <w:tblInd w:w="0" w:type="dxa"/>
        <w:shd w:fill="FFFFFF" w:val="clear"/>
        <w:tblLayout w:type="fixed"/>
        <w:tblCellMar>
          <w:top w:w="28" w:type="dxa"/>
          <w:left w:w="28" w:type="dxa"/>
          <w:bottom w:w="28" w:type="dxa"/>
          <w:right w:w="28" w:type="dxa"/>
        </w:tblCellMar>
      </w:tblPr>
      <w:tblGrid>
        <w:gridCol w:w="124"/>
        <w:gridCol w:w="256"/>
        <w:gridCol w:w="688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enrolled patients was 45% bipolar disorders and 55% schizophrenia</w:t>
            </w:r>
          </w:p>
        </w:tc>
      </w:tr>
    </w:tbl>
    <w:p>
      <w:pPr>
        <w:pStyle w:val="TextBody"/>
        <w:shd w:fill="FFFFFF" w:val="clear"/>
        <w:bidi w:val="0"/>
        <w:spacing w:before="0" w:after="0"/>
        <w:ind w:left="0" w:right="0" w:firstLine="360"/>
        <w:jc w:val="left"/>
        <w:rPr/>
      </w:pPr>
      <w:r>
        <w:rPr/>
        <w:t>​</w:t>
      </w:r>
    </w:p>
    <w:p>
      <w:pPr>
        <w:pStyle w:val="TextBody"/>
        <w:pBdr/>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SERENITY AT-Home Primary Objective Data</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120 mcg dose of BXCL501 was well-tolerated in patients with episodes of agitation in the outpatient setting and met the primary objective. This tolerability outcome was observed across repeat dosing and through the duration of the trial.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36" w:type="dxa"/>
        <w:jc w:val="left"/>
        <w:tblInd w:w="0" w:type="dxa"/>
        <w:shd w:fill="FFFFFF" w:val="clear"/>
        <w:tblLayout w:type="fixed"/>
        <w:tblCellMar>
          <w:top w:w="28" w:type="dxa"/>
          <w:left w:w="28" w:type="dxa"/>
          <w:bottom w:w="28" w:type="dxa"/>
          <w:right w:w="28" w:type="dxa"/>
        </w:tblCellMar>
      </w:tblPr>
      <w:tblGrid>
        <w:gridCol w:w="124"/>
        <w:gridCol w:w="256"/>
        <w:gridCol w:w="505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discontinuations due to tolerability in the BXCL501 arm</w:t>
            </w:r>
          </w:p>
        </w:tc>
      </w:tr>
    </w:tbl>
    <w:tbl>
      <w:tblPr>
        <w:tblW w:w="10026" w:type="dxa"/>
        <w:jc w:val="left"/>
        <w:tblInd w:w="0" w:type="dxa"/>
        <w:shd w:fill="FFFFFF" w:val="clear"/>
        <w:tblLayout w:type="fixed"/>
        <w:tblCellMar>
          <w:top w:w="28" w:type="dxa"/>
          <w:left w:w="28" w:type="dxa"/>
          <w:bottom w:w="28" w:type="dxa"/>
          <w:right w:w="28" w:type="dxa"/>
        </w:tblCellMar>
      </w:tblPr>
      <w:tblGrid>
        <w:gridCol w:w="124"/>
        <w:gridCol w:w="256"/>
        <w:gridCol w:w="964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Adverse event profile consistent with approved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label and multiple clinical trials in the institutional setting</w:t>
            </w:r>
          </w:p>
        </w:tc>
      </w:tr>
    </w:tbl>
    <w:p>
      <w:pPr>
        <w:pStyle w:val="TextBody"/>
        <w:bidi w:val="0"/>
        <w:spacing w:before="0" w:after="0"/>
        <w:ind w:left="990" w:right="0" w:hanging="0"/>
        <w:jc w:val="left"/>
        <w:rPr>
          <w:shd w:fill="FFFFFF" w:val="clear"/>
        </w:rPr>
      </w:pPr>
      <w:r>
        <w:rPr>
          <w:shd w:fill="FFFFFF" w:val="clear"/>
        </w:rPr>
        <w:t>●</w:t>
      </w:r>
      <w:r>
        <w:rPr>
          <w:rFonts w:ascii="Times New Roman;Times;serif" w:hAnsi="Times New Roman;Times;serif"/>
          <w:sz w:val="20"/>
          <w:shd w:fill="FFFFFF" w:val="clear"/>
        </w:rPr>
        <w:t>No drug-related serious adverse events (SAEs), syncopes or falls reported</w:t>
      </w:r>
    </w:p>
    <w:p>
      <w:pPr>
        <w:pStyle w:val="TextBody"/>
        <w:bidi w:val="0"/>
        <w:spacing w:before="0" w:after="0"/>
        <w:ind w:left="990" w:right="0" w:hanging="0"/>
        <w:jc w:val="left"/>
        <w:rPr>
          <w:shd w:fill="FFFFFF" w:val="clear"/>
        </w:rPr>
      </w:pPr>
      <w:r>
        <w:rPr>
          <w:shd w:fill="FFFFFF" w:val="clear"/>
        </w:rPr>
        <w:t>●</w:t>
      </w:r>
      <w:r>
        <w:rPr>
          <w:rFonts w:ascii="Times New Roman;Times;serif" w:hAnsi="Times New Roman;Times;serif"/>
          <w:sz w:val="20"/>
          <w:shd w:fill="FFFFFF" w:val="clear"/>
        </w:rPr>
        <w:t>No new or unexpected treatment emergent adverse events (TEAEs)</w:t>
      </w:r>
    </w:p>
    <w:p>
      <w:pPr>
        <w:pStyle w:val="TextBody"/>
        <w:bidi w:val="0"/>
        <w:spacing w:before="0" w:after="0"/>
        <w:ind w:left="990" w:right="0" w:hanging="0"/>
        <w:jc w:val="left"/>
        <w:rPr>
          <w:shd w:fill="FFFFFF" w:val="clear"/>
        </w:rPr>
      </w:pPr>
      <w:r>
        <w:rPr>
          <w:shd w:fill="FFFFFF" w:val="clear"/>
        </w:rPr>
        <w:t>●</w:t>
      </w:r>
      <w:r>
        <w:rPr>
          <w:rFonts w:ascii="Times New Roman;Times;serif" w:hAnsi="Times New Roman;Times;serif"/>
          <w:sz w:val="20"/>
          <w:shd w:fill="FFFFFF" w:val="clear"/>
        </w:rPr>
        <w:t>No severe TEAEs associated with BXCL501 treatment and most TEAEs were mild</w:t>
      </w:r>
    </w:p>
    <w:p>
      <w:pPr>
        <w:pStyle w:val="TextBody"/>
        <w:bidi w:val="0"/>
        <w:spacing w:before="0" w:after="0"/>
        <w:ind w:left="990" w:right="0" w:hanging="0"/>
        <w:jc w:val="left"/>
        <w:rPr>
          <w:shd w:fill="FFFFFF" w:val="clear"/>
        </w:rPr>
      </w:pPr>
      <w:r>
        <w:rPr>
          <w:shd w:fill="FFFFFF" w:val="clear"/>
        </w:rPr>
        <w:t>●</w:t>
      </w:r>
      <w:r>
        <w:rPr>
          <w:rFonts w:ascii="Times New Roman;Times;serif" w:hAnsi="Times New Roman;Times;serif"/>
          <w:sz w:val="20"/>
          <w:shd w:fill="FFFFFF" w:val="clear"/>
        </w:rPr>
        <w:t>No trend of more frequent AEs over time or with repeat dosing</w:t>
      </w:r>
    </w:p>
    <w:tbl>
      <w:tblPr>
        <w:tblW w:w="6456" w:type="dxa"/>
        <w:jc w:val="left"/>
        <w:tblInd w:w="0" w:type="dxa"/>
        <w:shd w:fill="FFFFFF" w:val="clear"/>
        <w:tblLayout w:type="fixed"/>
        <w:tblCellMar>
          <w:top w:w="28" w:type="dxa"/>
          <w:left w:w="28" w:type="dxa"/>
          <w:bottom w:w="28" w:type="dxa"/>
          <w:right w:w="28" w:type="dxa"/>
        </w:tblCellMar>
      </w:tblPr>
      <w:tblGrid>
        <w:gridCol w:w="124"/>
        <w:gridCol w:w="256"/>
        <w:gridCol w:w="60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Tolerability remained consistent throughout the repeat dosing in the trial</w:t>
            </w:r>
          </w:p>
        </w:tc>
      </w:tr>
    </w:tbl>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b/>
          <w:sz w:val="20"/>
        </w:rPr>
        <w:t>BXCL501 120 mcg Tolerability Profile Consistent with IGALMI</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Label</w:t>
      </w:r>
    </w:p>
    <w:p>
      <w:pPr>
        <w:pStyle w:val="TextBody"/>
        <w:shd w:fill="FFFFFF" w:val="clear"/>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2934"/>
        <w:gridCol w:w="762"/>
        <w:gridCol w:w="916"/>
        <w:gridCol w:w="956"/>
        <w:gridCol w:w="1429"/>
        <w:gridCol w:w="1041"/>
        <w:gridCol w:w="1194"/>
        <w:gridCol w:w="973"/>
      </w:tblGrid>
      <w:tr>
        <w:trPr/>
        <w:tc>
          <w:tcPr>
            <w:tcW w:w="2934" w:type="dxa"/>
            <w:vMerge w:val="restart"/>
            <w:tcBorders/>
            <w:vAlign w:val="center"/>
          </w:tcPr>
          <w:p>
            <w:pPr>
              <w:pStyle w:val="TableContents"/>
              <w:bidi w:val="0"/>
              <w:spacing w:lineRule="auto" w:line="240"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Treatment-Emergent Adverse Events </w:t>
            </w:r>
            <w:r>
              <w:rPr>
                <w:rFonts w:ascii="Times New Roman;Times;serif" w:hAnsi="Times New Roman;Times;serif"/>
                <w:b w:val="false"/>
                <w:i w:val="false"/>
                <w:caps w:val="false"/>
                <w:smallCaps w:val="false"/>
                <w:color w:val="000000"/>
                <w:sz w:val="15"/>
              </w:rPr>
              <w:t>2</w:t>
            </w:r>
          </w:p>
        </w:tc>
        <w:tc>
          <w:tcPr>
            <w:tcW w:w="1678" w:type="dxa"/>
            <w:gridSpan w:val="2"/>
            <w:tcBorders>
              <w:top w:val="single" w:sz="8" w:space="0" w:color="000000"/>
              <w:left w:val="single" w:sz="8" w:space="0" w:color="000000"/>
              <w:bottom w:val="single" w:sz="8" w:space="0" w:color="000000"/>
              <w:right w:val="single" w:sz="18" w:space="0" w:color="000000"/>
            </w:tcBorders>
            <w:tcMar>
              <w:top w:w="28" w:type="dxa"/>
              <w:left w:w="9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Serenity I &amp; II</w:t>
            </w:r>
          </w:p>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(IGALMI® Label</w:t>
            </w:r>
            <w:r>
              <w:rPr>
                <w:rFonts w:ascii="Times New Roman;Times;serif" w:hAnsi="Times New Roman;Times;serif"/>
                <w:sz w:val="15"/>
              </w:rPr>
              <w:t>1</w:t>
            </w:r>
            <w:r>
              <w:rPr>
                <w:rFonts w:ascii="Times New Roman;Times;serif" w:hAnsi="Times New Roman;Times;serif"/>
                <w:sz w:val="20"/>
              </w:rPr>
              <w:t>)</w:t>
            </w:r>
          </w:p>
        </w:tc>
        <w:tc>
          <w:tcPr>
            <w:tcW w:w="4620" w:type="dxa"/>
            <w:gridSpan w:val="4"/>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Serenity At-Home </w:t>
            </w:r>
          </w:p>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Adverse Event by Dose (Episode)</w:t>
            </w:r>
            <w:r>
              <w:rPr>
                <w:rFonts w:ascii="Times New Roman;Times;serif" w:hAnsi="Times New Roman;Times;serif"/>
                <w:sz w:val="15"/>
              </w:rPr>
              <w:t>1</w:t>
            </w:r>
          </w:p>
        </w:tc>
        <w:tc>
          <w:tcPr>
            <w:tcW w:w="9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934" w:type="dxa"/>
            <w:vMerge w:val="continue"/>
            <w:tcBorders/>
            <w:vAlign w:val="center"/>
          </w:tcPr>
          <w:p>
            <w:pPr>
              <w:pStyle w:val="Normal"/>
              <w:bidi w:val="0"/>
              <w:jc w:val="left"/>
              <w:rPr/>
            </w:pPr>
            <w:r>
              <w:rPr/>
            </w:r>
          </w:p>
        </w:tc>
        <w:tc>
          <w:tcPr>
            <w:tcW w:w="762" w:type="dxa"/>
            <w:tcBorders>
              <w:top w:val="single" w:sz="8" w:space="0" w:color="000000"/>
              <w:left w:val="single" w:sz="8" w:space="0" w:color="000000"/>
              <w:bottom w:val="single" w:sz="2" w:space="0" w:color="000000"/>
              <w:right w:val="single" w:sz="8" w:space="0" w:color="000000"/>
            </w:tcBorders>
            <w:tcMar>
              <w:top w:w="28" w:type="dxa"/>
              <w:left w:w="98" w:type="dxa"/>
              <w:bottom w:w="28" w:type="dxa"/>
              <w:right w:w="98" w:type="dxa"/>
            </w:tcMar>
            <w:vAlign w:val="center"/>
          </w:tcPr>
          <w:p>
            <w:pPr>
              <w:pStyle w:val="TableContents"/>
              <w:bidi w:val="0"/>
              <w:spacing w:before="0" w:after="283"/>
              <w:ind w:left="0" w:right="0" w:hanging="0"/>
              <w:jc w:val="left"/>
              <w:rPr>
                <w:sz w:val="4"/>
                <w:szCs w:val="4"/>
              </w:rPr>
            </w:pPr>
            <w:r>
              <w:rPr>
                <w:sz w:val="4"/>
                <w:szCs w:val="4"/>
              </w:rPr>
            </w:r>
          </w:p>
        </w:tc>
        <w:tc>
          <w:tcPr>
            <w:tcW w:w="1872" w:type="dxa"/>
            <w:gridSpan w:val="2"/>
            <w:tcBorders>
              <w:top w:val="single" w:sz="8" w:space="0" w:color="000000"/>
              <w:bottom w:val="single" w:sz="8" w:space="0" w:color="000000"/>
              <w:right w:val="single" w:sz="18" w:space="0" w:color="000000"/>
            </w:tcBorders>
            <w:tcMar>
              <w:top w:w="2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Single Dose</w:t>
            </w:r>
          </w:p>
        </w:tc>
        <w:tc>
          <w:tcPr>
            <w:tcW w:w="2470" w:type="dxa"/>
            <w:gridSpan w:val="2"/>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First Dose</w:t>
            </w:r>
          </w:p>
        </w:tc>
        <w:tc>
          <w:tcPr>
            <w:tcW w:w="2167" w:type="dxa"/>
            <w:gridSpan w:val="2"/>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 Doses (2437 episodes)</w:t>
            </w:r>
          </w:p>
        </w:tc>
      </w:tr>
      <w:tr>
        <w:trPr/>
        <w:tc>
          <w:tcPr>
            <w:tcW w:w="2934" w:type="dxa"/>
            <w:vMerge w:val="continue"/>
            <w:tcBorders/>
            <w:vAlign w:val="center"/>
          </w:tcPr>
          <w:p>
            <w:pPr>
              <w:pStyle w:val="Normal"/>
              <w:bidi w:val="0"/>
              <w:jc w:val="left"/>
              <w:rPr/>
            </w:pPr>
            <w:r>
              <w:rPr/>
            </w:r>
          </w:p>
        </w:tc>
        <w:tc>
          <w:tcPr>
            <w:tcW w:w="762" w:type="dxa"/>
            <w:tcBorders>
              <w:top w:val="single" w:sz="8" w:space="0" w:color="000000"/>
              <w:left w:val="single" w:sz="8" w:space="0" w:color="000000"/>
              <w:bottom w:val="single" w:sz="2" w:space="0" w:color="000000"/>
              <w:right w:val="single" w:sz="8" w:space="0" w:color="000000"/>
            </w:tcBorders>
            <w:tcMar>
              <w:top w:w="28" w:type="dxa"/>
              <w:left w:w="98" w:type="dxa"/>
              <w:bottom w:w="28" w:type="dxa"/>
              <w:right w:w="98" w:type="dxa"/>
            </w:tcMar>
            <w:vAlign w:val="center"/>
          </w:tcPr>
          <w:p>
            <w:pPr>
              <w:pStyle w:val="TableContents"/>
              <w:bidi w:val="0"/>
              <w:spacing w:before="0" w:after="283"/>
              <w:ind w:left="0" w:right="0" w:hanging="0"/>
              <w:jc w:val="left"/>
              <w:rPr>
                <w:sz w:val="4"/>
                <w:szCs w:val="4"/>
              </w:rPr>
            </w:pPr>
            <w:r>
              <w:rPr>
                <w:sz w:val="4"/>
                <w:szCs w:val="4"/>
              </w:rPr>
            </w:r>
          </w:p>
        </w:tc>
        <w:tc>
          <w:tcPr>
            <w:tcW w:w="916" w:type="dxa"/>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IGALMI®</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N=255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956" w:type="dxa"/>
            <w:tcBorders>
              <w:left w:val="single" w:sz="8" w:space="0" w:color="000000"/>
              <w:bottom w:val="single" w:sz="8" w:space="0" w:color="000000"/>
              <w:right w:val="single" w:sz="18" w:space="0" w:color="000000"/>
            </w:tcBorders>
            <w:tcMar>
              <w:left w:w="9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N=252</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w:t>
            </w:r>
          </w:p>
        </w:tc>
        <w:tc>
          <w:tcPr>
            <w:tcW w:w="1429" w:type="dxa"/>
            <w:tcBorders>
              <w:top w:val="single" w:sz="8" w:space="0" w:color="000000"/>
              <w:left w:val="single" w:sz="18" w:space="0" w:color="000000"/>
              <w:bottom w:val="single" w:sz="8" w:space="0" w:color="000000"/>
              <w:right w:val="single" w:sz="8" w:space="0" w:color="000000"/>
            </w:tcBorders>
            <w:tcMar>
              <w:top w:w="28" w:type="dxa"/>
              <w:left w:w="85"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BXCL501 N=102</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1041"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N=106</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119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BXCL501 </w:t>
              <w:br/>
              <w:b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N=1160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973"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N=1277</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r>
      <w:tr>
        <w:trPr/>
        <w:tc>
          <w:tcPr>
            <w:tcW w:w="2934"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Somnolence </w:t>
            </w:r>
            <w:r>
              <w:rPr>
                <w:rFonts w:ascii="Times New Roman;Times;serif" w:hAnsi="Times New Roman;Times;serif"/>
                <w:sz w:val="15"/>
              </w:rPr>
              <w:t xml:space="preserve">3 </w:t>
            </w:r>
          </w:p>
        </w:tc>
        <w:tc>
          <w:tcPr>
            <w:tcW w:w="76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 (22%)</w:t>
            </w:r>
          </w:p>
        </w:tc>
        <w:tc>
          <w:tcPr>
            <w:tcW w:w="916" w:type="dxa"/>
            <w:tcBorders>
              <w:top w:val="single" w:sz="8" w:space="0" w:color="000000"/>
              <w:left w:val="single" w:sz="8" w:space="0" w:color="000000"/>
              <w:bottom w:val="single" w:sz="8" w:space="0" w:color="000000"/>
              <w:right w:val="single" w:sz="18" w:space="0" w:color="000000"/>
            </w:tcBorders>
            <w:tcMar>
              <w:top w:w="28" w:type="dxa"/>
              <w:left w:w="9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 (6%)</w:t>
            </w:r>
          </w:p>
        </w:tc>
        <w:tc>
          <w:tcPr>
            <w:tcW w:w="956" w:type="dxa"/>
            <w:tcBorders>
              <w:top w:val="single" w:sz="8" w:space="0" w:color="000000"/>
              <w:left w:val="single" w:sz="18" w:space="0" w:color="000000"/>
              <w:bottom w:val="single" w:sz="8" w:space="0" w:color="000000"/>
              <w:right w:val="single" w:sz="8" w:space="0" w:color="000000"/>
            </w:tcBorders>
            <w:tcMar>
              <w:top w:w="28" w:type="dxa"/>
              <w:left w:w="85"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 (22.5%)</w:t>
            </w:r>
          </w:p>
        </w:tc>
        <w:tc>
          <w:tcPr>
            <w:tcW w:w="142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(17%)</w:t>
            </w:r>
          </w:p>
        </w:tc>
        <w:tc>
          <w:tcPr>
            <w:tcW w:w="104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161 (13.9%)</w:t>
            </w:r>
          </w:p>
        </w:tc>
        <w:tc>
          <w:tcPr>
            <w:tcW w:w="119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 (8.1%)</w:t>
            </w:r>
          </w:p>
        </w:tc>
        <w:tc>
          <w:tcPr>
            <w:tcW w:w="9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93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Oral Paresthesia/Hypoesthesia</w:t>
            </w:r>
          </w:p>
        </w:tc>
        <w:tc>
          <w:tcPr>
            <w:tcW w:w="76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 (6%)</w:t>
            </w:r>
          </w:p>
        </w:tc>
        <w:tc>
          <w:tcPr>
            <w:tcW w:w="916" w:type="dxa"/>
            <w:tcBorders>
              <w:top w:val="single" w:sz="8" w:space="0" w:color="000000"/>
              <w:left w:val="single" w:sz="8" w:space="0" w:color="000000"/>
              <w:bottom w:val="single" w:sz="8" w:space="0" w:color="000000"/>
              <w:right w:val="single" w:sz="18" w:space="0" w:color="000000"/>
            </w:tcBorders>
            <w:tcMar>
              <w:top w:w="28" w:type="dxa"/>
              <w:left w:w="9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(1%)</w:t>
            </w:r>
          </w:p>
        </w:tc>
        <w:tc>
          <w:tcPr>
            <w:tcW w:w="956" w:type="dxa"/>
            <w:tcBorders>
              <w:top w:val="single" w:sz="8" w:space="0" w:color="000000"/>
              <w:left w:val="single" w:sz="18" w:space="0" w:color="000000"/>
              <w:bottom w:val="single" w:sz="8" w:space="0" w:color="000000"/>
              <w:right w:val="single" w:sz="8" w:space="0" w:color="000000"/>
            </w:tcBorders>
            <w:tcMar>
              <w:top w:w="28" w:type="dxa"/>
              <w:left w:w="85"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(2.0%)</w:t>
            </w:r>
          </w:p>
        </w:tc>
        <w:tc>
          <w:tcPr>
            <w:tcW w:w="142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(0.9%)</w:t>
            </w:r>
          </w:p>
        </w:tc>
        <w:tc>
          <w:tcPr>
            <w:tcW w:w="104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 (0.5%)</w:t>
            </w:r>
          </w:p>
        </w:tc>
        <w:tc>
          <w:tcPr>
            <w:tcW w:w="119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(0.1%)</w:t>
            </w:r>
          </w:p>
        </w:tc>
        <w:tc>
          <w:tcPr>
            <w:tcW w:w="9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93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Dizziness</w:t>
            </w:r>
          </w:p>
        </w:tc>
        <w:tc>
          <w:tcPr>
            <w:tcW w:w="76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(4 %)</w:t>
            </w:r>
          </w:p>
        </w:tc>
        <w:tc>
          <w:tcPr>
            <w:tcW w:w="916" w:type="dxa"/>
            <w:tcBorders>
              <w:top w:val="single" w:sz="8" w:space="0" w:color="000000"/>
              <w:left w:val="single" w:sz="8" w:space="0" w:color="000000"/>
              <w:bottom w:val="single" w:sz="8" w:space="0" w:color="000000"/>
              <w:right w:val="single" w:sz="18" w:space="0" w:color="000000"/>
            </w:tcBorders>
            <w:tcMar>
              <w:top w:w="28" w:type="dxa"/>
              <w:left w:w="9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(1%)</w:t>
            </w:r>
          </w:p>
        </w:tc>
        <w:tc>
          <w:tcPr>
            <w:tcW w:w="956" w:type="dxa"/>
            <w:tcBorders>
              <w:top w:val="single" w:sz="8" w:space="0" w:color="000000"/>
              <w:left w:val="single" w:sz="18" w:space="0" w:color="000000"/>
              <w:bottom w:val="single" w:sz="8" w:space="0" w:color="000000"/>
              <w:right w:val="single" w:sz="8" w:space="0" w:color="000000"/>
            </w:tcBorders>
            <w:tcMar>
              <w:top w:w="28" w:type="dxa"/>
              <w:left w:w="85"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(4.9%)</w:t>
            </w:r>
          </w:p>
        </w:tc>
        <w:tc>
          <w:tcPr>
            <w:tcW w:w="142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(0.9%)</w:t>
            </w:r>
          </w:p>
        </w:tc>
        <w:tc>
          <w:tcPr>
            <w:tcW w:w="104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 (1.6%)</w:t>
            </w:r>
          </w:p>
        </w:tc>
        <w:tc>
          <w:tcPr>
            <w:tcW w:w="119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(0.2%)</w:t>
            </w:r>
          </w:p>
        </w:tc>
        <w:tc>
          <w:tcPr>
            <w:tcW w:w="9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93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Dry mouth</w:t>
            </w:r>
          </w:p>
        </w:tc>
        <w:tc>
          <w:tcPr>
            <w:tcW w:w="76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 (7%)</w:t>
            </w:r>
          </w:p>
        </w:tc>
        <w:tc>
          <w:tcPr>
            <w:tcW w:w="916" w:type="dxa"/>
            <w:tcBorders>
              <w:top w:val="single" w:sz="8" w:space="0" w:color="000000"/>
              <w:left w:val="single" w:sz="8" w:space="0" w:color="000000"/>
              <w:bottom w:val="single" w:sz="8" w:space="0" w:color="000000"/>
              <w:right w:val="single" w:sz="18" w:space="0" w:color="000000"/>
            </w:tcBorders>
            <w:tcMar>
              <w:top w:w="28" w:type="dxa"/>
              <w:left w:w="9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(1%)</w:t>
            </w:r>
          </w:p>
        </w:tc>
        <w:tc>
          <w:tcPr>
            <w:tcW w:w="956" w:type="dxa"/>
            <w:tcBorders>
              <w:top w:val="single" w:sz="8" w:space="0" w:color="000000"/>
              <w:left w:val="single" w:sz="18" w:space="0" w:color="000000"/>
              <w:bottom w:val="single" w:sz="8" w:space="0" w:color="000000"/>
              <w:right w:val="single" w:sz="8" w:space="0" w:color="000000"/>
            </w:tcBorders>
            <w:tcMar>
              <w:top w:w="28" w:type="dxa"/>
              <w:left w:w="85"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 (6.9%)</w:t>
            </w:r>
          </w:p>
        </w:tc>
        <w:tc>
          <w:tcPr>
            <w:tcW w:w="142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(0.9%)</w:t>
            </w:r>
          </w:p>
        </w:tc>
        <w:tc>
          <w:tcPr>
            <w:tcW w:w="104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 (4.8%)</w:t>
            </w:r>
          </w:p>
        </w:tc>
        <w:tc>
          <w:tcPr>
            <w:tcW w:w="119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 (1.9%)</w:t>
            </w:r>
          </w:p>
        </w:tc>
        <w:tc>
          <w:tcPr>
            <w:tcW w:w="9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93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Nausea</w:t>
            </w:r>
          </w:p>
        </w:tc>
        <w:tc>
          <w:tcPr>
            <w:tcW w:w="76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 (2%)</w:t>
            </w:r>
          </w:p>
        </w:tc>
        <w:tc>
          <w:tcPr>
            <w:tcW w:w="916" w:type="dxa"/>
            <w:tcBorders>
              <w:top w:val="single" w:sz="8" w:space="0" w:color="000000"/>
              <w:left w:val="single" w:sz="8" w:space="0" w:color="000000"/>
              <w:bottom w:val="single" w:sz="8" w:space="0" w:color="000000"/>
              <w:right w:val="single" w:sz="18" w:space="0" w:color="000000"/>
            </w:tcBorders>
            <w:tcMar>
              <w:top w:w="28" w:type="dxa"/>
              <w:left w:w="9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(2%)</w:t>
            </w:r>
          </w:p>
        </w:tc>
        <w:tc>
          <w:tcPr>
            <w:tcW w:w="956" w:type="dxa"/>
            <w:tcBorders>
              <w:top w:val="single" w:sz="8" w:space="0" w:color="000000"/>
              <w:left w:val="single" w:sz="18" w:space="0" w:color="000000"/>
              <w:bottom w:val="single" w:sz="8" w:space="0" w:color="000000"/>
              <w:right w:val="single" w:sz="8" w:space="0" w:color="000000"/>
            </w:tcBorders>
            <w:tcMar>
              <w:top w:w="28" w:type="dxa"/>
              <w:left w:w="85"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(1.0%)</w:t>
            </w:r>
          </w:p>
        </w:tc>
        <w:tc>
          <w:tcPr>
            <w:tcW w:w="142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w:t>
            </w:r>
          </w:p>
        </w:tc>
        <w:tc>
          <w:tcPr>
            <w:tcW w:w="104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 (0.5%)</w:t>
            </w:r>
          </w:p>
        </w:tc>
        <w:tc>
          <w:tcPr>
            <w:tcW w:w="119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(0.1%)</w:t>
            </w:r>
          </w:p>
        </w:tc>
        <w:tc>
          <w:tcPr>
            <w:tcW w:w="9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93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Headache</w:t>
            </w:r>
          </w:p>
        </w:tc>
        <w:tc>
          <w:tcPr>
            <w:tcW w:w="76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(5%)</w:t>
            </w:r>
          </w:p>
        </w:tc>
        <w:tc>
          <w:tcPr>
            <w:tcW w:w="916" w:type="dxa"/>
            <w:tcBorders>
              <w:top w:val="single" w:sz="8" w:space="0" w:color="000000"/>
              <w:left w:val="single" w:sz="8" w:space="0" w:color="000000"/>
              <w:bottom w:val="single" w:sz="8" w:space="0" w:color="000000"/>
              <w:right w:val="single" w:sz="18" w:space="0" w:color="000000"/>
            </w:tcBorders>
            <w:tcMar>
              <w:top w:w="28" w:type="dxa"/>
              <w:left w:w="98" w:type="dxa"/>
              <w:bottom w:w="28" w:type="dxa"/>
              <w:right w:w="85"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(5%)</w:t>
            </w:r>
          </w:p>
        </w:tc>
        <w:tc>
          <w:tcPr>
            <w:tcW w:w="956" w:type="dxa"/>
            <w:tcBorders>
              <w:top w:val="single" w:sz="8" w:space="0" w:color="000000"/>
              <w:left w:val="single" w:sz="18" w:space="0" w:color="000000"/>
              <w:bottom w:val="single" w:sz="8" w:space="0" w:color="000000"/>
              <w:right w:val="single" w:sz="8" w:space="0" w:color="000000"/>
            </w:tcBorders>
            <w:tcMar>
              <w:top w:w="28" w:type="dxa"/>
              <w:left w:w="85"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42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(1.9%)</w:t>
            </w:r>
          </w:p>
        </w:tc>
        <w:tc>
          <w:tcPr>
            <w:tcW w:w="104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(0.3%)</w:t>
            </w:r>
          </w:p>
        </w:tc>
        <w:tc>
          <w:tcPr>
            <w:tcW w:w="119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(0.3%)</w:t>
            </w:r>
          </w:p>
        </w:tc>
        <w:tc>
          <w:tcPr>
            <w:tcW w:w="97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SERENITY I and II evaluated a single agitation episode in patient in clinic. SERENITY AT-Home evaluated 2437 episodes in 208 patients. Adverse events are presented on an episode basis as each episode was evaluated as an independent event. </w:t>
      </w:r>
      <w:r>
        <w:rPr>
          <w:rFonts w:ascii="Arial;Helvetica;sans-serif" w:hAnsi="Arial;Helvetica;sans-serif"/>
          <w:sz w:val="20"/>
        </w:rPr>
        <w:t>O</w:t>
      </w:r>
      <w:r>
        <w:rPr>
          <w:rFonts w:ascii="Times New Roman;Times;serif" w:hAnsi="Times New Roman;Times;serif"/>
          <w:sz w:val="18"/>
        </w:rPr>
        <w:t>nly AEs observed in Serenity At-Home Pivotal Phase 3 trial are listed</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2 </w:t>
      </w:r>
      <w:r>
        <w:rPr>
          <w:rFonts w:ascii="Times New Roman;Times;serif" w:hAnsi="Times New Roman;Times;serif"/>
          <w:sz w:val="18"/>
        </w:rPr>
        <w:t>AEs within 24 hours following dosing</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3 </w:t>
      </w:r>
      <w:r>
        <w:rPr>
          <w:rFonts w:ascii="Times New Roman;Times;serif" w:hAnsi="Times New Roman;Times;serif"/>
          <w:sz w:val="18"/>
        </w:rPr>
        <w:t>Includes fatigue</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b/>
          <w:sz w:val="20"/>
        </w:rPr>
        <w:t>BXCL501 Tolerability Profile Consistent with Repeat Dosing</w:t>
      </w:r>
      <w:r>
        <w:rPr>
          <w:rFonts w:ascii="Times New Roman;Times;serif" w:hAnsi="Times New Roman;Times;serif"/>
          <w:b/>
          <w:sz w:val="15"/>
        </w:rPr>
        <w:t>1</w:t>
      </w:r>
    </w:p>
    <w:p>
      <w:pPr>
        <w:pStyle w:val="TextBody"/>
        <w:shd w:fill="FFFFFF" w:val="clear"/>
        <w:bidi w:val="0"/>
        <w:spacing w:before="0" w:after="0"/>
        <w:ind w:left="0" w:right="0" w:firstLine="360"/>
        <w:jc w:val="left"/>
        <w:rPr/>
      </w:pPr>
      <w:r>
        <w:rPr/>
        <w:t>​</w:t>
      </w:r>
    </w:p>
    <w:tbl>
      <w:tblPr>
        <w:tblW w:w="9697" w:type="dxa"/>
        <w:jc w:val="left"/>
        <w:tblInd w:w="-10" w:type="dxa"/>
        <w:tblLayout w:type="fixed"/>
        <w:tblCellMar>
          <w:top w:w="28" w:type="dxa"/>
          <w:left w:w="98" w:type="dxa"/>
          <w:bottom w:w="28" w:type="dxa"/>
          <w:right w:w="98" w:type="dxa"/>
        </w:tblCellMar>
      </w:tblPr>
      <w:tblGrid>
        <w:gridCol w:w="3151"/>
        <w:gridCol w:w="1021"/>
        <w:gridCol w:w="1021"/>
        <w:gridCol w:w="1021"/>
        <w:gridCol w:w="1021"/>
        <w:gridCol w:w="1066"/>
        <w:gridCol w:w="1396"/>
      </w:tblGrid>
      <w:tr>
        <w:trPr/>
        <w:tc>
          <w:tcPr>
            <w:tcW w:w="31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pPr>
            <w:r>
              <w:rPr/>
              <w:t>​</w:t>
            </w:r>
          </w:p>
        </w:tc>
        <w:tc>
          <w:tcPr>
            <w:tcW w:w="2042"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Doses 1-3</w:t>
            </w:r>
          </w:p>
        </w:tc>
        <w:tc>
          <w:tcPr>
            <w:tcW w:w="2042"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Doses 4 to 12</w:t>
            </w:r>
          </w:p>
        </w:tc>
        <w:tc>
          <w:tcPr>
            <w:tcW w:w="2462"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Doses 13 and beyond</w:t>
            </w:r>
          </w:p>
        </w:tc>
      </w:tr>
      <w:tr>
        <w:trPr/>
        <w:tc>
          <w:tcPr>
            <w:tcW w:w="3151"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Treatment-Emergent Adverse Event </w:t>
            </w:r>
            <w:r>
              <w:rPr>
                <w:rFonts w:ascii="Sylfaen" w:hAnsi="Sylfaen"/>
                <w:sz w:val="15"/>
              </w:rPr>
              <w:t>2</w:t>
            </w:r>
          </w:p>
        </w:tc>
        <w:tc>
          <w:tcPr>
            <w:tcW w:w="1021"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pBdr/>
              <w:bidi w:val="0"/>
              <w:spacing w:before="0" w:after="240"/>
              <w:ind w:left="0" w:right="0" w:hanging="3"/>
              <w:jc w:val="center"/>
              <w:rPr>
                <w:rFonts w:ascii="Times New Roman;Times;serif" w:hAnsi="Times New Roman;Times;serif"/>
                <w:sz w:val="20"/>
              </w:rPr>
            </w:pPr>
            <w:r>
              <w:rPr>
                <w:rFonts w:ascii="Times New Roman;Times;serif" w:hAnsi="Times New Roman;Times;serif"/>
                <w:sz w:val="20"/>
              </w:rPr>
              <w:t>BXCL501</w:t>
            </w:r>
          </w:p>
          <w:p>
            <w:pPr>
              <w:pStyle w:val="TableContents"/>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N=265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1021"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PLACEBO</w:t>
            </w:r>
          </w:p>
          <w:p>
            <w:pPr>
              <w:pStyle w:val="TableContents"/>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N=274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1021"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40"/>
              <w:ind w:left="0" w:right="0" w:firstLine="1"/>
              <w:jc w:val="center"/>
              <w:rPr>
                <w:rFonts w:ascii="Times New Roman;Times;serif" w:hAnsi="Times New Roman;Times;serif"/>
                <w:sz w:val="20"/>
              </w:rPr>
            </w:pPr>
            <w:r>
              <w:rPr>
                <w:rFonts w:ascii="Times New Roman;Times;serif" w:hAnsi="Times New Roman;Times;serif"/>
                <w:sz w:val="20"/>
              </w:rPr>
              <w:t>BXCL501</w:t>
            </w:r>
          </w:p>
          <w:p>
            <w:pPr>
              <w:pStyle w:val="TableContents"/>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N=398</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1021"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PLACEBO</w:t>
            </w:r>
          </w:p>
          <w:p>
            <w:pPr>
              <w:pStyle w:val="TableContents"/>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N=483</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1066"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BXCL501</w:t>
            </w:r>
          </w:p>
          <w:p>
            <w:pPr>
              <w:pStyle w:val="TableContents"/>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N= 496</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c>
          <w:tcPr>
            <w:tcW w:w="1396"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PLACEBO</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N=517</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 (%)</w:t>
            </w:r>
          </w:p>
        </w:tc>
      </w:tr>
      <w:tr>
        <w:trPr/>
        <w:tc>
          <w:tcPr>
            <w:tcW w:w="31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Somnolence </w:t>
            </w:r>
            <w:r>
              <w:rPr>
                <w:rFonts w:ascii="Sylfaen" w:hAnsi="Sylfaen"/>
                <w:sz w:val="15"/>
              </w:rPr>
              <w:t>3</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 (22.0%)</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 (16.0%)</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 (15.3%)</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 (10.8%)</w:t>
            </w:r>
          </w:p>
        </w:tc>
        <w:tc>
          <w:tcPr>
            <w:tcW w:w="10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 (8.5%)</w:t>
            </w:r>
          </w:p>
        </w:tc>
        <w:tc>
          <w:tcPr>
            <w:tcW w:w="1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 (1.5%)</w:t>
            </w:r>
          </w:p>
        </w:tc>
      </w:tr>
      <w:tr>
        <w:trPr/>
        <w:tc>
          <w:tcPr>
            <w:tcW w:w="31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Oral Paresthesia/Hypoesthesia</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(1.5%)</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(0.4%)</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(0.5%)</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0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r>
      <w:tr>
        <w:trPr/>
        <w:tc>
          <w:tcPr>
            <w:tcW w:w="31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Dizziness</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(3.8%)</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(0.4%)</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 (1.8%)</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(0.2%)</w:t>
            </w:r>
          </w:p>
        </w:tc>
        <w:tc>
          <w:tcPr>
            <w:tcW w:w="10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(0.4%)</w:t>
            </w:r>
          </w:p>
        </w:tc>
        <w:tc>
          <w:tcPr>
            <w:tcW w:w="1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r>
      <w:tr>
        <w:trPr/>
        <w:tc>
          <w:tcPr>
            <w:tcW w:w="31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Dry mouth</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 (5.3%)</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(0.7%)</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 (7.3%)</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(0.4%)</w:t>
            </w:r>
          </w:p>
        </w:tc>
        <w:tc>
          <w:tcPr>
            <w:tcW w:w="10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 (2.6%)</w:t>
            </w:r>
          </w:p>
        </w:tc>
        <w:tc>
          <w:tcPr>
            <w:tcW w:w="1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 (3.9%)</w:t>
            </w:r>
          </w:p>
        </w:tc>
      </w:tr>
      <w:tr>
        <w:trPr/>
        <w:tc>
          <w:tcPr>
            <w:tcW w:w="31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Nausea</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(0.4%)</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(0.4%)</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(0.8%)</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0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(0.4%)</w:t>
            </w:r>
          </w:p>
        </w:tc>
        <w:tc>
          <w:tcPr>
            <w:tcW w:w="1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r>
      <w:tr>
        <w:trPr/>
        <w:tc>
          <w:tcPr>
            <w:tcW w:w="31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Headache</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(1.1%)</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(0.7%)</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0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(0.4%)</w:t>
            </w:r>
          </w:p>
        </w:tc>
        <w:tc>
          <w:tcPr>
            <w:tcW w:w="10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(0.2%)</w:t>
            </w:r>
          </w:p>
        </w:tc>
        <w:tc>
          <w:tcPr>
            <w:tcW w:w="1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Adverse events are presented on an episode basis </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AEs within 24 hours following dosing</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3 </w:t>
      </w:r>
      <w:r>
        <w:rPr>
          <w:rFonts w:ascii="Times New Roman;Times;serif" w:hAnsi="Times New Roman;Times;serif"/>
          <w:sz w:val="18"/>
        </w:rPr>
        <w:t>Includes fatigue</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BXCL501 Tolerability Profile Consistent over the Trial Duration</w:t>
      </w:r>
    </w:p>
    <w:p>
      <w:pPr>
        <w:pStyle w:val="TextBody"/>
        <w:shd w:fill="FFFFFF" w:val="clear"/>
        <w:bidi w:val="0"/>
        <w:spacing w:before="0" w:after="0"/>
        <w:ind w:left="0" w:right="0" w:firstLine="360"/>
        <w:jc w:val="left"/>
        <w:rPr>
          <w:shd w:fill="FFFF00" w:val="clear"/>
        </w:rPr>
      </w:pPr>
      <w:r>
        <w:rPr>
          <w:shd w:fill="FFFF00" w:val="clear"/>
        </w:rPr>
        <w:t>​</w:t>
      </w:r>
    </w:p>
    <w:tbl>
      <w:tblPr>
        <w:tblW w:w="9487" w:type="dxa"/>
        <w:jc w:val="left"/>
        <w:tblInd w:w="0" w:type="dxa"/>
        <w:tblLayout w:type="fixed"/>
        <w:tblCellMar>
          <w:top w:w="0" w:type="dxa"/>
          <w:left w:w="0" w:type="dxa"/>
          <w:bottom w:w="0" w:type="dxa"/>
          <w:right w:w="0" w:type="dxa"/>
        </w:tblCellMar>
      </w:tblPr>
      <w:tblGrid>
        <w:gridCol w:w="3271"/>
        <w:gridCol w:w="1006"/>
        <w:gridCol w:w="1051"/>
        <w:gridCol w:w="1006"/>
        <w:gridCol w:w="1051"/>
        <w:gridCol w:w="1006"/>
        <w:gridCol w:w="1096"/>
      </w:tblGrid>
      <w:tr>
        <w:trPr/>
        <w:tc>
          <w:tcPr>
            <w:tcW w:w="327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r>
      <w:tr>
        <w:trPr/>
        <w:tc>
          <w:tcPr>
            <w:tcW w:w="327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pPr>
            <w:r>
              <w:rPr/>
              <w:t>​</w:t>
            </w:r>
          </w:p>
        </w:tc>
        <w:tc>
          <w:tcPr>
            <w:tcW w:w="2057" w:type="dxa"/>
            <w:gridSpan w:val="2"/>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Weeks 1 to 4</w:t>
            </w:r>
          </w:p>
        </w:tc>
        <w:tc>
          <w:tcPr>
            <w:tcW w:w="2057" w:type="dxa"/>
            <w:gridSpan w:val="2"/>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Weeks 5 to 8</w:t>
            </w:r>
          </w:p>
        </w:tc>
        <w:tc>
          <w:tcPr>
            <w:tcW w:w="2102" w:type="dxa"/>
            <w:gridSpan w:val="2"/>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Weeks 9 to 12</w:t>
            </w:r>
          </w:p>
        </w:tc>
      </w:tr>
      <w:tr>
        <w:trPr/>
        <w:tc>
          <w:tcPr>
            <w:tcW w:w="327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Treatment-Emergent Adverse Event</w:t>
            </w:r>
            <w:r>
              <w:rPr>
                <w:rFonts w:ascii="Times New Roman;Times;serif" w:hAnsi="Times New Roman;Times;serif"/>
                <w:b/>
                <w:sz w:val="15"/>
              </w:rPr>
              <w:t>2</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BXCL501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N=452</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 (%)</w:t>
            </w:r>
          </w:p>
        </w:tc>
        <w:tc>
          <w:tcPr>
            <w:tcW w:w="1051" w:type="dxa"/>
            <w:tcBorders>
              <w:left w:val="single" w:sz="8" w:space="0" w:color="000000"/>
              <w:bottom w:val="single" w:sz="8" w:space="0" w:color="000000"/>
              <w:right w:val="single" w:sz="8" w:space="0" w:color="000000"/>
            </w:tcBorders>
            <w:shd w:fill="FFFFFF" w:val="clear"/>
            <w:tcMar>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PLACEBO</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N=473</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 (%)</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BXCL501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N=369</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 (%)</w:t>
            </w:r>
          </w:p>
        </w:tc>
        <w:tc>
          <w:tcPr>
            <w:tcW w:w="1051" w:type="dxa"/>
            <w:tcBorders>
              <w:left w:val="single" w:sz="8" w:space="0" w:color="000000"/>
              <w:bottom w:val="single" w:sz="8" w:space="0" w:color="000000"/>
              <w:right w:val="single" w:sz="8" w:space="0" w:color="000000"/>
            </w:tcBorders>
            <w:shd w:fill="FFFFFF" w:val="clear"/>
            <w:tcMar>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PLACEBO</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N=432</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 (%)</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BXCL501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N=337</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 (%)</w:t>
            </w:r>
          </w:p>
        </w:tc>
        <w:tc>
          <w:tcPr>
            <w:tcW w:w="1096" w:type="dxa"/>
            <w:tcBorders>
              <w:left w:val="single" w:sz="8" w:space="0" w:color="000000"/>
              <w:bottom w:val="single" w:sz="8" w:space="0" w:color="000000"/>
              <w:right w:val="single" w:sz="8" w:space="0" w:color="000000"/>
            </w:tcBorders>
            <w:shd w:fill="FFFFFF" w:val="clear"/>
            <w:tcMar>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PLACEBO</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N=368</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 (%)</w:t>
            </w:r>
          </w:p>
        </w:tc>
      </w:tr>
      <w:tr>
        <w:trPr/>
        <w:tc>
          <w:tcPr>
            <w:tcW w:w="327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Somnolence</w:t>
            </w:r>
            <w:r>
              <w:rPr>
                <w:rFonts w:ascii="Times New Roman;Times;serif" w:hAnsi="Times New Roman;Times;serif"/>
                <w:sz w:val="15"/>
              </w:rPr>
              <w:t>3</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 (16.4%)</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 (11.2%)</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 (12.7%)</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 (6.7%)</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 (10.7%)</w:t>
            </w:r>
          </w:p>
        </w:tc>
        <w:tc>
          <w:tcPr>
            <w:tcW w:w="109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 (5.2%)</w:t>
            </w:r>
          </w:p>
        </w:tc>
      </w:tr>
      <w:tr>
        <w:trPr/>
        <w:tc>
          <w:tcPr>
            <w:tcW w:w="327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Oral Paresthesia/Hypoesthesia</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 (1.3%)</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(0.2%)</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09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r>
      <w:tr>
        <w:trPr/>
        <w:tc>
          <w:tcPr>
            <w:tcW w:w="327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Dizziness</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 (2.9)</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(0.4%)</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(0.8%)</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(0.9%)</w:t>
            </w:r>
          </w:p>
        </w:tc>
        <w:tc>
          <w:tcPr>
            <w:tcW w:w="109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r>
      <w:tr>
        <w:trPr/>
        <w:tc>
          <w:tcPr>
            <w:tcW w:w="327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Dry mouth</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 (5.5%)</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(0.4%)</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 (5.4%)</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(2.3%)</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 (3.3%)</w:t>
            </w:r>
          </w:p>
        </w:tc>
        <w:tc>
          <w:tcPr>
            <w:tcW w:w="109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(3.3%)</w:t>
            </w:r>
          </w:p>
        </w:tc>
      </w:tr>
      <w:tr>
        <w:trPr/>
        <w:tc>
          <w:tcPr>
            <w:tcW w:w="327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Nausea</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(0.7%)</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(0.2%)</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(0.5%)</w:t>
            </w:r>
          </w:p>
        </w:tc>
        <w:tc>
          <w:tcPr>
            <w:tcW w:w="1051"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c>
          <w:tcPr>
            <w:tcW w:w="100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(0.3%)</w:t>
            </w:r>
          </w:p>
        </w:tc>
        <w:tc>
          <w:tcPr>
            <w:tcW w:w="1096" w:type="dxa"/>
            <w:tcBorders>
              <w:top w:val="single" w:sz="8" w:space="0" w:color="000000"/>
              <w:left w:val="single" w:sz="8" w:space="0" w:color="000000"/>
              <w:bottom w:val="single" w:sz="8" w:space="0" w:color="000000"/>
              <w:right w:val="single" w:sz="8" w:space="0" w:color="000000"/>
            </w:tcBorders>
            <w:shd w:fill="FFFF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 (0%)</w:t>
            </w:r>
          </w:p>
        </w:tc>
      </w:tr>
    </w:tbl>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Adverse events are presented for agitation episodes in the weeks indicated</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AEs within 24 hours following dosing</w:t>
      </w:r>
    </w:p>
    <w:p>
      <w:pPr>
        <w:pStyle w:val="TextBody"/>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3 </w:t>
      </w:r>
      <w:r>
        <w:rPr>
          <w:rFonts w:ascii="Times New Roman;Times;serif" w:hAnsi="Times New Roman;Times;serif"/>
          <w:sz w:val="18"/>
        </w:rPr>
        <w:t>Includes fatigue</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September 10, 2025, we announced positive topline exploratory efficacy data from the SERENITY At-Home Pivotal Phase 3 safety trial, which demonstrated BXCL501 had continued effects and consistent benefit with repeat dosing. While this trial was not powered for efficacy assessments, continued effects and consistent benefits with repeat dosing seen in the trial further support the potential of BXCL501 for use in the outpatient setting. </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Effect Across Total Number of Agitation Episodes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Across 2,433 treated episodes in the trial, BXCL501 demonstrated a significant mean reduction in the modified Clinical Global Impression–Severity (mCGI-S) score from baseline compared to placebo at 2 hours (p&lt;.05).</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Effect Across Severity of Agitation Episodes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Patients experienced a complete resolution of agitation symptoms measured by mCGI-S at significantly higher rates with BXCL501 compared to placebo across severity of agitation episodes, with an overall resolution of 50% in the BXCL501 arm, compared to 33% on placebo (p &lt;.0001). Severe agitation episodes fully resolved (no agitation) in 61% of episodes in the BXCL501 arm, compared to 18% on placebo (p &lt;.0001). Moderate agitation episodes fully resolved in 43% of cases for patients in the BXCL501 arm, compared to 34% on placebo (p &lt;.0005). Mild agitation episodes fully resolved in 60% of cases for patients in the BXCL501, compared to 40% on placebo (p &lt;.0001). In sum, complete resolution of agitation was significantly higher with BXCL501 compared to placebo regardless of agitation episode severity.</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Effect Across Number of Treated Agitation Episodes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mean reduction in agitation symptoms experienced by patients following administration of BXCL501 was maintained throughout repeated dosing in the trial. There was a mean reduction in mCGI-S score of 1.2 following the first 12 doses and a mean reduction of 1.4 following 13 or more doses of BXCL501. This underscores the potential of BXCL501 to continue to provide benefit across repeated dosing.</w:t>
      </w:r>
    </w:p>
    <w:p>
      <w:pPr>
        <w:pStyle w:val="TextBody"/>
        <w:shd w:fill="FFFFFF" w:val="clear"/>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Efficacy Across Duration of the Trial</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reduction in agitation symptoms experienced by patients following administration of BXCL501 was also maintained throughout the trial’s duration. Evaluating the 12-week trial period on a time-based scale, agitation episodes treated with BXCL501 during weeks 1-4, 5-8 and 9-12 all had a mean reduction in mCGI-S score of 1.3. This underscores the potential of BXCL501 to maintain a sustained benefit across longer treatment durations.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standard method for measuring acute agitation associated with schizophrenia and bipolar disorder is the Positive and Negative Syndrome Scale – Excited Component (PEC) administered by a trained clinician, which was used in the Serenity I &amp; II Pivotal Trials. In order to evaluate BXCL501 for continued clinical effect with repeat dosing in the at-home setting using an exploratory efficacy measurement, the Company, in consultation with FDA, developed the modified CGI-S (mCGI-S) scale, which can be scored by patients and/or caregivers. The study assessed the correlation between PEC and mCGI-S in this prospective, open label, in-clinic trial in 33 patients.</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October 14, 2025, we announced that results from the 33 patient open label trial demonstrated a strong correlation between the clinician assessments and the patient or caregiver (informant) rated outcomes, providing support for using mCGI-S to assess efficacy in the outpatient setting. A statistically significant and strong correlation between the PEC and mCGI-S with a correlation of ρ=0.89; p&lt;0.0001 for patients and ρ=0.88; p&lt;0.0001 for informants was observed.</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There were no serious adverse events reported and the safety profile remains consistent with the IGALMI</w:t>
      </w:r>
      <w:r>
        <w:rPr>
          <w:rFonts w:ascii="Times New Roman;Times;serif" w:hAnsi="Times New Roman;Times;serif"/>
          <w:sz w:val="15"/>
        </w:rPr>
        <w:t>®</w:t>
      </w:r>
      <w:r>
        <w:rPr>
          <w:rFonts w:ascii="Times New Roman;Times;serif" w:hAnsi="Times New Roman;Times;serif"/>
          <w:sz w:val="20"/>
        </w:rPr>
        <w:t> label.</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An sNDA was submitted on January 14, 2026 for the acute treatment of agitation in schizophrenia and bipolar disorders in the unsupervised (at-home) setting. </w:t>
      </w:r>
    </w:p>
    <w:p>
      <w:pPr>
        <w:pStyle w:val="TextBody"/>
        <w:shd w:fill="FFFFFF" w:val="clear"/>
        <w:bidi w:val="0"/>
        <w:spacing w:before="0" w:after="0"/>
        <w:ind w:left="0" w:right="0" w:firstLine="360"/>
        <w:jc w:val="left"/>
        <w:rPr/>
      </w:pPr>
      <w:r>
        <w:rPr/>
        <w:t>​</w:t>
      </w:r>
    </w:p>
    <w:p>
      <w:pPr>
        <w:pStyle w:val="TextBody"/>
        <w:pBdr/>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TRANQUILITY Program: Acute Agitation Associated with Dementia due to Probable Alzheimer’s Disease (AAD)</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Under our TRANQUILITY program, we are evaluating BXCL501 as a potential treatment option for the acute treatment of agitation associated with Alzheimer’s dementia (“AAD”). On June 29, 2023, we announced positive topline results from TRANQUILITY II, a randomized, double-blind, placebo-controlled, parallel group trial that evaluated the safety and efficacy of BXCL501 for the acute treatment of Alzheimer’s-related agitation in adults 65 years and older with mild to moderate dementia in assisted living facilities (“ALFs”) and residential care settings who required minimal assistance with activities of daily living. The trial dosed 149 patients. Randomized patients self-administered 40 mcg or 60 mcg of BXCL501 or placebo for agitation episodes that occurred over a 12-week period. The primary endpoint was the change from pre-dose in Positive and Negative Syndrome Scale-Excitatory Component (“PEC”) total score at 2 hours post-dose for the first treated episode of agitation. The key secondary efficacy endpoints were PEC change from pre-dose at 1 hour post-dose of study treatment for the first treated episode of agitation, and PEC change from pre-dose at 30 minutes post-dose of study treatment for the first treated episode of agitation.</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Phase 3 trial met its primary efficacy endpoint with the 60 mcg dose; a statistically significant and clinically meaningful 7.5 point reduction from baseline in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Efficacy for this dose was supported by several secondary measures, including the Clinical Global Impressions – Improvement Scale (“CGI-I”) and Agitation-Calmness Evaluation Scale (“ACES”). Most patients (76%) responded to the first 60 mcg dose and were determined to be “Very Much” or “Much Improved” (CGI-I of 1 or 2, respectively) compared to 50% with placebo. The primary endpoint was not met for the 40 mcg dose, with a 5.7 point reduction from baseline in PEC score.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June 29, 2023, we also announced that we had learned that an investigator in this study, who enrolled approximately 40% of the patients, engaged in misconduct. Since that time, we have taken steps to further investigate and evaluate the conduct of the TRANQUILITY II trial at this clinical site. Based on these steps to date, we believe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there have been no further instances of misconduct or fraud or other findings that adversely impact the data integrity or reliability of the eligibility, safety, and efficacy data obtained at the clinical trial site in question.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3, 2025 we announced that the U.S. Food and Drug Administration (FDA) concluded that the inspection of a single site in its TRANQUILITY II Phase 3 trial was closed under 21 C.F.R.20.64(d)(3) and released the Establishment Inspection Report. The FDA designated “Voluntary Action Indicated” for the site. We believe this further supports the reliability of data from the TRANQUILITY II trial of BXCL501.</w:t>
      </w:r>
    </w:p>
    <w:p>
      <w:pPr>
        <w:pStyle w:val="TextBody"/>
        <w:bidi w:val="0"/>
        <w:spacing w:before="6" w:after="240"/>
        <w:ind w:left="0" w:right="0" w:firstLine="360"/>
        <w:jc w:val="left"/>
        <w:rPr>
          <w:rFonts w:ascii="Times New Roman;Times;serif" w:hAnsi="Times New Roman;Times;serif"/>
          <w:sz w:val="20"/>
        </w:rPr>
      </w:pPr>
      <w:r>
        <w:rPr>
          <w:rFonts w:ascii="Times New Roman;Times;serif" w:hAnsi="Times New Roman;Times;serif"/>
          <w:sz w:val="20"/>
        </w:rPr>
        <w:t>In a Type B/Breakthrough Therapy designation meeting with the FDA on October 11, 2023, we reviewed our TRANQUILITY clinical trial program and discussed the data package required to support submission of an sNDA for the potential approval of BXCL501 for the acute treatment of agitation in patients with mild to moderate dementia due to probable Alzheimer’s disease in the ALF and at-home settings. Specifically, we sought feedback from the FDA as to whether our data package consisting of TRANQUILITY I and II, along with the clinical pharmacology and toxicology programs previously discussed with the FDA, would be sufficient to support an sNDA submission for the potential use of BXCL501 to treat agitation in patients with mild to moderate dementia due to probable Alzheimer’s disease in either the at-home or ALF setting, or, if not, what additional data would be required. Based on the FDA’s feedback in this meeting, we understand that the FDA will require additional efficacy data, including repeat efficacy data, and long-term safety data. We therefore requested another meeting with the FDA to further discuss the additional data that would be required to support an sNDA submission.</w:t>
      </w:r>
    </w:p>
    <w:p>
      <w:pPr>
        <w:pStyle w:val="TextBody"/>
        <w:bidi w:val="0"/>
        <w:spacing w:before="6" w:after="0"/>
        <w:ind w:left="0" w:right="0" w:firstLine="360"/>
        <w:jc w:val="left"/>
        <w:rPr>
          <w:rFonts w:ascii="Times New Roman;Times;serif" w:hAnsi="Times New Roman;Times;serif"/>
          <w:sz w:val="20"/>
        </w:rPr>
      </w:pPr>
      <w:r>
        <w:rPr>
          <w:rFonts w:ascii="Times New Roman;Times;serif" w:hAnsi="Times New Roman;Times;serif"/>
          <w:sz w:val="20"/>
        </w:rPr>
        <w:t>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need to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Based on the FDA’s feedback, we are currently planning to generate additional Phase 3 efficacy and safety data, in a variety of relevant care-facility settings and across severity of dementia, in our planned TRANQUILITY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and subject to funding, we are re-evaluating the timing for initiating TRANQUILITY At Home.</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September 5, 2024, we submitted to the FDA the proposed protocol for our TRANQUILITY In-Care Phase 3 trial designed to evaluate the efficacy and safety of a 60 mcg dose of BXCL501 for agitation associated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Alzheimer’s dementia. On November 12, 2024, we announced that we had received FDA feedback on the proposed protocol</w:t>
      </w:r>
      <w:r>
        <w:rPr>
          <w:rFonts w:ascii="Times New Roman;Times;serif" w:hAnsi="Times New Roman;Times;serif"/>
          <w:b/>
          <w:sz w:val="20"/>
        </w:rPr>
        <w:t>. </w:t>
      </w:r>
    </w:p>
    <w:p>
      <w:pPr>
        <w:pStyle w:val="TextBody"/>
        <w:pBdr/>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Adjunctive treatment in Major Depressive Disorder (“MDD”)</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were previously evaluating BXCL501 as an adjunctive treatment for MDD. The initial clinical study in this program was a double-blind, placebo-controlled, multiple ascending dose (“MAD”) trial to evaluate the safety and tolerability of daily doses of BXCL501 in healthy volunteers. </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part of the Clinical Reprioritization we paused our plan to develop a Phase 2 human proof-of-concept trial design to investigate BXCL501 as a potential adjunctive treatment and its potential accelerant effect in combination with first-line selective serotonin reuptake inhibitors or serotonin-norepinephrine reuptake inhibitors. </w:t>
      </w:r>
    </w:p>
    <w:p>
      <w:pPr>
        <w:pStyle w:val="TextBody"/>
        <w:pBd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Pediatric Study</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the approval of IGALMI</w:t>
      </w:r>
      <w:r>
        <w:rPr>
          <w:rFonts w:ascii="Times New Roman;Times;serif" w:hAnsi="Times New Roman;Times;serif"/>
          <w:sz w:val="15"/>
        </w:rPr>
        <w:t>®</w:t>
      </w:r>
      <w:r>
        <w:rPr>
          <w:rFonts w:ascii="Times New Roman;Times;serif" w:hAnsi="Times New Roman;Times;serif"/>
          <w:sz w:val="20"/>
        </w:rPr>
        <w:t>.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63% of the 150 total subjects have been enrolled in the U.S. and 95 of such subjects have completed the clinical trial. In July 2023, we stopped activities in the European region as enrollment and site recruitment was unproductive. Similar to our registration trials in schizophrenia and bipolar disorder (SERENITY I and II), the primary endpoint is the change from baseline PEC total score at two hours. The U.S. portion of this program remains active following the Clinical Reprioritization.</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2024, we submitted a request to the FDA for an extension and plan to submit an updated trial protocol to complete enrollment requirements for pediatric patients with schizophrenia or schizoaffective disorder. The FDA granted a 3-year extension to complete the pediatric study.</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To support pediatrics in the at-home setting, FDA has requested an at-home/ outpatient study in pediatric patients following the inpatient study. The design of this study will be discussed and agreed with FDA prior to initiating it. </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pPr>
      <w:r>
        <w:rPr/>
        <w:t>​</w:t>
      </w:r>
    </w:p>
    <w:p>
      <w:pPr>
        <w:pStyle w:val="TextBody"/>
        <w:pBd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b/>
          <w:sz w:val="20"/>
        </w:rPr>
        <w:t>IGALMI</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 xml:space="preserve">Post-Marketing Requirement Study </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June 25, 2024, we announced positive topline results from our post-marketing requirement study evaluating whether tolerance, tachyphylaxis, or withdrawal occur following repeat dosing of the 180 mcg (highest approved dose) of IGALMI</w:t>
      </w:r>
      <w:r>
        <w:rPr>
          <w:rFonts w:ascii="Times New Roman;Times;serif" w:hAnsi="Times New Roman;Times;serif"/>
          <w:sz w:val="15"/>
        </w:rPr>
        <w:t>®</w:t>
      </w:r>
      <w:r>
        <w:rPr>
          <w:rFonts w:ascii="Times New Roman;Times;serif" w:hAnsi="Times New Roman;Times;serif"/>
          <w:sz w:val="20"/>
        </w:rPr>
        <w:t>. This study was a single-arm, open-label study of 28 inpatient adults with frequent episodes of agitation associated with bipolar disorders or schizophrenia who self-administered 180 mcg dose of IGALMI</w:t>
      </w:r>
      <w:r>
        <w:rPr>
          <w:rFonts w:ascii="Times New Roman;Times;serif" w:hAnsi="Times New Roman;Times;serif"/>
          <w:sz w:val="15"/>
        </w:rPr>
        <w:t>®</w:t>
      </w:r>
      <w:r>
        <w:rPr>
          <w:rFonts w:ascii="Times New Roman;Times;serif" w:hAnsi="Times New Roman;Times;serif"/>
          <w:sz w:val="20"/>
        </w:rPr>
        <w:t xml:space="preserve"> as needed over seven days. A total of 83 episodes were treated. The study achieved its objective and demonstrated no evidence of tachyphylaxis, tolerance, or withdrawal, and IGALMI</w:t>
      </w:r>
      <w:r>
        <w:rPr>
          <w:rFonts w:ascii="Times New Roman;Times;serif" w:hAnsi="Times New Roman;Times;serif"/>
          <w:sz w:val="15"/>
        </w:rPr>
        <w:t>®</w:t>
      </w:r>
      <w:r>
        <w:rPr>
          <w:rFonts w:ascii="Times New Roman;Times;serif" w:hAnsi="Times New Roman;Times;serif"/>
          <w:sz w:val="20"/>
        </w:rPr>
        <w:t xml:space="preserve"> was generally well tolerated during the study.</w:t>
      </w:r>
    </w:p>
    <w:p>
      <w:pPr>
        <w:pStyle w:val="TextBody"/>
        <w:shd w:fill="FFFFFF" w:val="clear"/>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Additional Neuroscience Opportunities</w:t>
      </w:r>
    </w:p>
    <w:p>
      <w:pPr>
        <w:pStyle w:val="TextBody"/>
        <w:pBd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BXCL501 Pipeline Opportunities for Franchise Expansion</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Based on its potential mechanism of action, we believe BXCL501 has the potential for broad applicability across several indications where agitation is a symptom of a condition or underlying disease. Research published in the journal Frontiers in Pharmacology showed that BXCL501 caused a significant reduction in behaviors induced by stress in translatable behavioral models related to psychiatric disorders, providing further support for the drug’s mechanism of action and potential suitability for broadly addressing stress-related disorders in addition to agitation.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both"/>
        <w:rPr>
          <w:rFonts w:ascii="Times New Roman;Times;serif" w:hAnsi="Times New Roman;Times;serif"/>
          <w:b/>
          <w:sz w:val="20"/>
        </w:rPr>
      </w:pPr>
      <w:r>
        <w:rPr>
          <w:rFonts w:ascii="Times New Roman;Times;serif" w:hAnsi="Times New Roman;Times;serif"/>
          <w:b/>
          <w:sz w:val="20"/>
        </w:rPr>
        <w:t>Government-Supported Investigator-Sponsored Trial Programs</w:t>
      </w:r>
    </w:p>
    <w:p>
      <w:pPr>
        <w:pStyle w:val="TextBody"/>
        <w:bidi w:val="0"/>
        <w:spacing w:before="120" w:after="24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research partners have been awarded grants for the development of BXCL501 in alcohol use disorder (“AUD”) with comorbid post-traumatic stress disorder (“PTSD”), opioid use disorder (“OUD”), and acute stress disorder (“ASD”). The Company is providing, or has provided, regulatory and operational support and investigational product for these development opportunities, which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University of North Carolina at Chapel Hill. </w:t>
      </w:r>
    </w:p>
    <w:p>
      <w:pPr>
        <w:pStyle w:val="TextBody"/>
        <w:bidi w:val="0"/>
        <w:spacing w:before="0" w:after="0"/>
        <w:ind w:left="446" w:right="0" w:hanging="0"/>
        <w:jc w:val="both"/>
        <w:rPr>
          <w:shd w:fill="FFFFFF" w:val="clear"/>
        </w:rPr>
      </w:pPr>
      <w:r>
        <w:rPr>
          <w:shd w:fill="FFFFFF" w:val="clear"/>
        </w:rPr>
        <w:t>​</w:t>
      </w:r>
    </w:p>
    <w:p>
      <w:pPr>
        <w:pStyle w:val="TextBody"/>
        <w:bidi w:val="0"/>
        <w:spacing w:before="0" w:after="0"/>
        <w:ind w:left="446"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Opioid Use Disorder Program</w:t>
      </w:r>
    </w:p>
    <w:p>
      <w:pPr>
        <w:pStyle w:val="TextBody"/>
        <w:bidi w:val="0"/>
        <w:spacing w:before="0" w:after="0"/>
        <w:ind w:left="446" w:right="0" w:hanging="0"/>
        <w:jc w:val="both"/>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As the Company previously announced, NIDA awarded a grant to Columbia University to fund clinical testing of BXCL501 as a potential treatment for mitigation of opioid withdrawal symptoms in patients diagnosed with OUD. The original 160-patient, three-site, four-arm study is a randomized, double-blind, double-dummy inpatient study comparing BXCL501 (180 mcg and 240 mcg BID), lofexidine (as a positive control), and placebo. The study’s goal was to evaluate the safety and efficacy of BXCL501 relative to lofexidine and placebo in subjects with OUD. A majority of OUD patients participating in the study were anticipated to be exposed to fentanyl adulterated or associated with xylazine. To date, four different sites have recruited, enrolled, and dosed patients diagnosed with OUD who are physically dependent on opioids, including prescription opioids. The Company supplied BXCL501 for the study, which was sponsored by Columbia University. The study was subsequently stopped at 80 patients, or approximately one-half the original total. </w:t>
      </w:r>
    </w:p>
    <w:p>
      <w:pPr>
        <w:pStyle w:val="TextBody"/>
        <w:bidi w:val="0"/>
        <w:spacing w:before="0" w:after="0"/>
        <w:ind w:left="0" w:right="0" w:firstLine="360"/>
        <w:jc w:val="left"/>
        <w:rPr>
          <w:shd w:fill="FFFFFF" w:val="clear"/>
        </w:rPr>
      </w:pPr>
      <w:r>
        <w:rPr>
          <w:shd w:fill="FFFFFF" w:val="clea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On March 5, 2026, the Company announced positive topline results from the Columbia Phase 2 investigator-sponsored trial evaluating BXCL501 for the treatment of opioid withdrawal symptoms in adults with opioid use disorder undergoing a methadone taper.  In the study, BXCL501 240 µg BID reduced opioid withdrawal symptoms compared to placebo during a seven-day methadone taper, as measured by the Short Opiate Withdrawal Scale-Gossop (SOWS-Gossop).  After receiving BXCL501 240 µg, patients experienced a greater than 30% reduction in SOWS-Gossop scores, with peak symptom improvement observed on days 3 and 4.  The reduction in withdrawal symptoms with BXCL501 numerically exceeded that observed with lofexidine 0.54 mg administered four times daily. BXCL501 demonstrated a favorable tolerability profile, with rates of key adverse events (including dizziness, orthostatic hypotension, bradycardia and insomnia) comparable to or lower than those reported for lofexidine in the Lucemyra</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(lofexidine) FDA label.  </w:t>
      </w:r>
    </w:p>
    <w:p>
      <w:pPr>
        <w:pStyle w:val="TextBody"/>
        <w:bidi w:val="0"/>
        <w:spacing w:before="0" w:after="0"/>
        <w:ind w:left="0" w:right="0" w:firstLine="360"/>
        <w:jc w:val="left"/>
        <w:rPr>
          <w:shd w:fill="FFFFFF" w:val="clear"/>
        </w:rPr>
      </w:pPr>
      <w:r>
        <w:rPr>
          <w:shd w:fill="FFFFFF" w:val="clear"/>
        </w:rPr>
        <w:t> </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This study was planned as a 4-arm trial: BXCL501 180 µg BID or 240 µg BID, placebo, and lofexidine 0.54 mg QID as a positive control. It enrolled participants who were predominantly exposed to fentanyl and included a high proportion of participants exposed to fentanyl adulterated or associated with xylazine (FAAX), which has been designated as an emerging threat by the White House Office of National Drug Control Policy. </w:t>
      </w:r>
    </w:p>
    <w:p>
      <w:pPr>
        <w:pStyle w:val="TextBody"/>
        <w:bidi w:val="0"/>
        <w:spacing w:before="0" w:after="0"/>
        <w:ind w:left="360" w:right="0" w:hanging="0"/>
        <w:jc w:val="left"/>
        <w:rPr>
          <w:shd w:fill="FFFFFF" w:val="clear"/>
        </w:rPr>
      </w:pPr>
      <w:r>
        <w:rPr>
          <w:shd w:fill="FFFFFF" w:val="clear"/>
        </w:rPr>
        <w:t>​</w:t>
      </w:r>
    </w:p>
    <w:p>
      <w:pPr>
        <w:pStyle w:val="TextBody"/>
        <w:bidi w:val="0"/>
        <w:spacing w:before="0" w:after="0"/>
        <w:ind w:left="36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Alcohol Use Disorder with Comorbid Post-traumatic Stress Disorder Program</w:t>
      </w:r>
    </w:p>
    <w:p>
      <w:pPr>
        <w:pStyle w:val="TextBody"/>
        <w:bidi w:val="0"/>
        <w:spacing w:before="0" w:after="0"/>
        <w:ind w:left="360" w:right="0" w:hanging="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Yale has received approval from the Institutional Review Board (“IRB”) and allowance from the FDA to proceed with a trial to evaluate the effects of up to 80 mcg BID of BXCL501 per day for 28 days on alcohol consumption, PTSD symptoms, cognitive function, memory, sleep, and mood in patients diagnosed with mild, moderate, or severe AUD and who meet Criterion A for comorbid PTSD. The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has begun, with the first patient expected to be dosed in the first half of 2026. Study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results may be used to inform a Phase 3 study in patients diagnosed with PTSD intended to commence with support by the Department of Defense Congressionally Directed Medical Research Program.</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Acute Stress Disorder (ASD) Program</w:t>
      </w:r>
    </w:p>
    <w:p>
      <w:pPr>
        <w:pStyle w:val="TextBody"/>
        <w:bidi w:val="0"/>
        <w:spacing w:before="0" w:after="0"/>
        <w:ind w:left="0" w:right="0" w:firstLine="360"/>
        <w:jc w:val="left"/>
        <w:rPr/>
      </w:pPr>
      <w:r>
        <w:rPr/>
        <w:t>​</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October 15, 2024, we announced a U.S. Department of Defense grant to the University of North Carolina (“UNC”) to fund a study of BXCL501 for treating ASD. The award provides $2,800 to the UNC Institute for Trauma Recovery from September 15, 2024 through September 14, 2026 to evaluate the potential efficacy of BXCL501 to reduce ASD symptom severity and/or posttraumatic neuropsychiatric symptoms. The double-blind, placebo-controlled trial is expected to enroll 100 patients experiencing ASD resulting from motor vehicle collisions, beginning in the first half of 2025. Patient screening and enrollment has begun, with the first patient expected to be dosed in the first half of 2026. We intend to supply BXCL501 for the trial.</w:t>
      </w:r>
    </w:p>
    <w:p>
      <w:pPr>
        <w:pStyle w:val="TextBody"/>
        <w:shd w:fill="FFFFFF" w:val="clear"/>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BXCL502 Development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identified a second neuropsychiatric drug candidate, BXCL502 − Latrepirdine (Dimebon) − through our AI-based platform. We plan to evaluate BXCL502 initially as a monotherapy and possibly in combination with BXCL501 for the chronic treatment of agitation in patients with dementia and acute stress disorder. The active pharmaceutical ingredient (“API”) underlying BXCL502 affects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for BXCL502 was paused as part of the Clinical Reprioritization.</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Product Candidates Leveraging the AI Platform</w:t>
      </w:r>
    </w:p>
    <w:p>
      <w:pPr>
        <w:pStyle w:val="TextBody"/>
        <w:shd w:fill="FFFFFF" w:val="clear"/>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AI platform is comprised of a series of customized and specific AI applications aimed at identifying, predicting efficacy and testing of late-stage assets with known mechanisms of action and associated pharmacology and safety data. We target neuropsychiatric and neurological rare disorders, where the compounds are either disease-modifying or symptom-mitigating. Compounds are tested in relevant models of disease and rank-ordered based on the potential to enter the clinic and ease of development. Disease areas of interest are stress related such as agitation, or neuropsychiatric symptoms associated with dementia and responsible for increased levels of healthcare burden. For example, our pipeline concepts BXCL503 and BXCL504 putatively have the potential to address apathy and aggression in dementia, respectively. These programs were also paused as part of the Clinical Reprioritization.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Neuroscience Competition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pharmaceutical and biotechnology industries are characterized by rapidly advancing technologies, intense competition, and a strong emphasis on proprietary products. The neuroscience and rare disease segments of the industry are highly competitive. While we believe that our technology, development experience, and scientific knowledge provide competitive advantages, we face potential competition from many different sources, including major pharmaceutical, specialty pharmaceutical, and biotechnology companies, academic institutions, governmental agencies, and public and private research institutions.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Many of our competitors may have significantly greater financial resources, and expertise in research and development, manufacturing, preclinical studies,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key competitive factors affecting the success of our product candidates, if approved, are likely to be their efficacy, safety, convenience, price, the effectiveness of companion diagnostics in guiding the use of related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therapeutics, if any, the level of generic competition, and the availability of reimbursement from government and other third-party payors.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medicines that are safer, more effective, more convenient, less expensive, or have fewer or less severe side effects than any medicines we may develop. Our competitors also may obtain FDA or other regulatory approval for their medicines more rapidly than us, which could result in our competitors establishing a strong market position before we are able to enter the market. In addition, our ability to compete may be affected in many cases by insurers or other third-party payors seeking to encourage the use of generic medicines. There are many generic medicines currently on the market for certain indications that we are pursuing, and additional generics are expected to become available over the coming years. We expect that any of our therapeutic product candidates that are approved will be priced at a significant premium over competitive generic medicines.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Any product candidates that we successfully develop and commercialize will compete with existing therapies and new therapies that may become available in the future. IGALMI</w:t>
      </w:r>
      <w:r>
        <w:rPr>
          <w:rFonts w:ascii="Times New Roman;Times;serif" w:hAnsi="Times New Roman;Times;serif"/>
          <w:sz w:val="15"/>
        </w:rPr>
        <w:t>®</w:t>
      </w:r>
      <w:r>
        <w:rPr>
          <w:rFonts w:ascii="Times New Roman;Times;serif" w:hAnsi="Times New Roman;Times;serif"/>
          <w:sz w:val="20"/>
        </w:rPr>
        <w:t xml:space="preserve"> and any of our other product candidates that are approved, if any, will compete with the drugs discussed below, in addition to any other drugs currently in development.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Drugs used for the acute treatment of agitation related to schizophrenia and bipolar disorder are antipsychotics frequently administered via IM injection that typically requires patient restraint. These include IM aripiprazole, olanzapine, ziprasidone, and haloperidol. Oral products include the sublingually administered atypical antipsychotic Asenapine, as well as benzodiazepines, lorazepam, and midazolam. The typical antipsychotic Adasuve</w:t>
      </w:r>
      <w:r>
        <w:rPr>
          <w:rFonts w:ascii="Times New Roman;Times;serif" w:hAnsi="Times New Roman;Times;serif"/>
          <w:sz w:val="15"/>
        </w:rPr>
        <w:t>®</w:t>
      </w:r>
      <w:r>
        <w:rPr>
          <w:rFonts w:ascii="Times New Roman;Times;serif" w:hAnsi="Times New Roman;Times;serif"/>
          <w:sz w:val="20"/>
        </w:rPr>
        <w:t xml:space="preserve"> (loxapine) from Alexza is delivered via inhalation. There are currently no treatments approved for treatment of agitation associated with schizophrenia or bipolar disease in an unsupervised (home) environment.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Neuroscience Manufacturing</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do not have manufacturing facilities. We currently rely on strategic manufacturing partners, in particular ARx, LLC (“ARx”), and expect to continue to rely on third parties for the manufacture of our product candidates for clinical research and our products for commercialization efforts. ARx has agreed to exclusively manufacture and supply our supply of film formulation of dexmedetomidine to be used for the commercial supply of IGALMI</w:t>
      </w:r>
      <w:r>
        <w:rPr>
          <w:rFonts w:ascii="Times New Roman;Times;serif" w:hAnsi="Times New Roman;Times;serif"/>
          <w:sz w:val="15"/>
        </w:rPr>
        <w:t>®</w:t>
      </w:r>
      <w:r>
        <w:rPr>
          <w:rFonts w:ascii="Times New Roman;Times;serif" w:hAnsi="Times New Roman;Times;serif"/>
          <w:sz w:val="20"/>
        </w:rPr>
        <w:t xml:space="preserve"> and for ongoing clinical trials of BXCL501, subject to certain alternative supply provisions.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BXCL501 drug product is manufactured using commercially available components and packaging materials. The equipment employed for manufacturing and analysis is consistent with standard pharmaceutical production.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Neuroscience Commercialization</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plan to retain worldwide commercialization rights for IGALMI</w:t>
      </w:r>
      <w:r>
        <w:rPr>
          <w:rFonts w:ascii="Times New Roman;Times;serif" w:hAnsi="Times New Roman;Times;serif"/>
          <w:sz w:val="15"/>
        </w:rPr>
        <w:t>®</w:t>
      </w:r>
      <w:r>
        <w:rPr>
          <w:rFonts w:ascii="Times New Roman;Times;serif" w:hAnsi="Times New Roman;Times;serif"/>
          <w:sz w:val="20"/>
        </w:rPr>
        <w:t xml:space="preserve"> and other approved product candidates, if any, but could consider collaboration opportunities to maximize returns or facilitate commercialization efforts in foreign jurisdictions. For additional information regarding our commercialization efforts for IGALMI</w:t>
      </w:r>
      <w:r>
        <w:rPr>
          <w:rFonts w:ascii="Times New Roman;Times;serif" w:hAnsi="Times New Roman;Times;serif"/>
          <w:sz w:val="15"/>
        </w:rPr>
        <w:t>®</w:t>
      </w:r>
      <w:r>
        <w:rPr>
          <w:rFonts w:ascii="Times New Roman;Times;serif" w:hAnsi="Times New Roman;Times;serif"/>
          <w:sz w:val="20"/>
        </w:rPr>
        <w:t>, see above under “IGALMI</w:t>
      </w:r>
      <w:r>
        <w:rPr>
          <w:rFonts w:ascii="Times New Roman;Times;serif" w:hAnsi="Times New Roman;Times;serif"/>
          <w:sz w:val="15"/>
        </w:rPr>
        <w:t>®</w:t>
      </w:r>
      <w:r>
        <w:rPr>
          <w:rFonts w:ascii="Times New Roman;Times;serif" w:hAnsi="Times New Roman;Times;serif"/>
          <w:sz w:val="20"/>
        </w:rPr>
        <w:t xml:space="preserve"> Commercial Strategy.”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product candidates advance through our pipeline, our commercialization plans may change. Clinical data, the size of the development programs, the size of the target market, the required commercial infrastructure, and manufacturing needs may all influence global commercialization strategies.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Neuroscience Intellectual Property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We have multiple patent families filed to protect our Neuroscience program, including BXCL501. As of March 1, 2026, our neuroscience patent portfolio included one Patent Cooperation Treaty (“PCT”) application not yet in the national phase, 12 U.S. utility applications, 17 issued U.S. utility patents, 49 pending non-U.S. utility applications, 26 allowed or granted non-U.S. patents (including five in Japan), one pending U.S. design patent application, and 2 registered design patents in Japan. Fourteen U.S. utility patents, directed to our proprietary sublingual film formulation of dexmedetomidine and methods of treating agitation, are listed in the FDA’s Approved Drug Products with Therapeutic Equivalence Evaluations (commonly known as the “Orange Book”) for IGALMI</w:t>
      </w:r>
      <w:r>
        <w:rPr>
          <w:rFonts w:ascii="Times New Roman;Times;serif" w:hAnsi="Times New Roman;Times;serif"/>
          <w:sz w:val="15"/>
        </w:rPr>
        <w:t>®</w:t>
      </w:r>
      <w:r>
        <w:rPr>
          <w:rFonts w:ascii="Times New Roman;Times;serif" w:hAnsi="Times New Roman;Times;serif"/>
          <w:sz w:val="20"/>
        </w:rPr>
        <w:t xml:space="preserve"> with expiration dates between 2037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dexmedetomidine. We expect that patents issued from these applications, will expire no earlier than 2035. We also have granted patents and pending applications filed in major markets, including the U.S., Europe, Japan, and China, directed to methods of treating agitation. We expect that patents issued from these applications, will expire between 2039 and 2043. </w:t>
      </w:r>
    </w:p>
    <w:p>
      <w:pPr>
        <w:pStyle w:val="TextBody"/>
        <w:pBdr/>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August 2024, the Company received a Notice of Allowance from the U.S. Patent and Trademark Office (“USPTO”) for U.S. Patent Application No. 18/600,431 (the “’431 Application”). The ’431 Application claims methods of treating agitation using an oromucosal formulation of dexmedetomidine. The ‘431 Application issued as U.S. Patent No. 12,138,247 (the ‘247 Patent) patent, issued on November 2024, and is expected to expire no earlier than January 12, 2043. The ’247 Patent is listed in the Orange Book for IGALMI</w:t>
      </w:r>
      <w:r>
        <w:rPr>
          <w:rFonts w:ascii="Times New Roman;Times;serif" w:hAnsi="Times New Roman;Times;serif"/>
          <w:sz w:val="15"/>
        </w:rPr>
        <w:t>®</w:t>
      </w:r>
      <w:r>
        <w:rPr>
          <w:rFonts w:ascii="Times New Roman;Times;serif" w:hAnsi="Times New Roman;Times;serif"/>
          <w:sz w:val="20"/>
        </w:rPr>
        <w:t xml:space="preserve">. </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pStyle w:val="TextBody"/>
        <w:shd w:fill="FFFFFF" w:val="clear"/>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patent positions of companies such as ours are generally uncertain and involve complex legal and factual questions. No consistent policy regarding the scope of claims allowable in patents in the field of method of use patents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 For additional information regarding intellectual property regulations and risks, see below under “Immuno-Oncology Intellectual Property” and Part I, Item 1A, “Risk Factors - Risks Related to Our Intellectual Property.”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Immuno-Oncology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April 19, 2022, we announced the formation of a wholly owned subsidiary, OnkosXcel to develop potentially transformative medicines in oncology. OnkosXcel used proprietary AI capabilities to drive the capital-efficient development of innovative anti-cancer therapeutics. With the Company’s Clinical Reprioritization announcement on August 14, 2023, further work on the immuno-oncology programs was paused, except as noted below.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BXCL701, an investigational, oral innate immune activator, demonstrated a 25% composite response rate in a Phase 2a clinical trial to treat patients with small cell neuroendocrine carcinoma (“SCNC”) phenotype metastatic castration-resistant prostate cancer (“mCRPC”). On February 12, 2024, the Company received Fast Track development designation from the FDA for the investigation of BXCL701 in combination with a checkpoint inhibitor for the treatment of patients with metastatic SCNC with progression on chemotherapy and no evidence of microsatellite instability. A potential registrational trial design in mCRPC patients with SCNC phenotype was finalized, however in light of our Clinical Reprioritization, we have not met with the FDA to discuss this, nor plan to initiate this trial at the current time.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Our Immuno-Oncology Programs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With our Clinical Reprioritization, further work on our immuno-oncology program has been paused, other than as noted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6108700" cy="266446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6108700" cy="2664460"/>
                    </a:xfrm>
                    <a:prstGeom prst="rect">
                      <a:avLst/>
                    </a:prstGeom>
                  </pic:spPr>
                </pic:pic>
              </a:graphicData>
            </a:graphic>
          </wp:inline>
        </w:drawing>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BXCL701 as a Potential Treatment for Other Cancers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its potential use in combination with CPIs to treat mCRPC, an immunologically cold tumor, we have been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Pancreatic Cancer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Preclinical models demonstrated synergy between DPP inhibition with BXCL701 and anti-PD-1 antibody in the pancreatic cancer tumor microenvironment. Based on these preclinical observations, Georgetown Lombardi Cancer Center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The trial was expected to enroll approximately 39 patients in its efficacy phase in a Simon 2-stage single-arm, open-label design (19 patients in stage 1 and 20 patients in stage 2). Patients were monitored radiographically and by tumor markers for response assessment. Tumor biopsies and blood samples were collected over the course of treatment to better understand the potential mechanism of action for the combination. The human proof of concept portion of the trial started in the first half of 2024. Twenty-one patients were enrolled. Four out of 18 evaluable patients (22%) were alive and progression-free at 18 weeks. Three had partial responses (17%), and 4 had stable disease (22%), for a disease control rate of 39%. One responder had MSI-H PDAC (Microsatellite Instability High Pancreatic Ductal Adenocarcinoma), while the other 2 had MSS PDAC (Microsatellite Stable Pancreatic Ductal Adenocarcinoma). Median PFS (Progression Free Survival) was 2.3 months (95% CI 1.58 – 5.29), and median overall survival was not reached (NR, 95% CI 4.54 - NR). No new safety signals were identified.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BXCL701 plus pembrolizumab in second-line advanced PDAC did not reach the preliminary efficacy endpoint to trigger the second stage. However, there were encouraging signs: this combination induced objective responses in 2 MSS pts, and the PFS exceeded 6 months in 3 pts (14%). Ongoing correlative studies should help to examine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characteristics of responders vs. non-responders and elucidate predictive markers of efficacy and resistance to this novel immunotherapy combination.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Relapsed or Refractory AML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initiated a Phase 1b trial to assess the safety of BXCL701 and to determine the maximum tolerated dose (MTD) and RP2D of BXCL701 as a single agent administered on days 1-3, 8-10, 15-17 and 22-24 in a 4-week (28 days) cycle schedule. This trial started in the first quarter of 2023. A total of 8 patients were treated on days 1-3, 8-10, 15-17 and 22-24 in a 4-week (28 days) cycle schedule across three cohorts as shown below:</w:t>
      </w:r>
    </w:p>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Cohort 1:</w:t>
            </w:r>
            <w:r>
              <w:rPr>
                <w:caps w:val="false"/>
                <w:smallCaps w:val="false"/>
              </w:rPr>
              <w:t xml:space="preserve"> </w:t>
            </w:r>
            <w:r>
              <w:rPr>
                <w:rFonts w:ascii="Times New Roman;Times;serif" w:hAnsi="Times New Roman;Times;serif"/>
                <w:b w:val="false"/>
                <w:i w:val="false"/>
                <w:caps w:val="false"/>
                <w:smallCaps w:val="false"/>
                <w:sz w:val="20"/>
              </w:rPr>
              <w:t xml:space="preserve">0.4 mg (BXCL701 0.2 mg BID); </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Cohort 2:</w:t>
            </w:r>
            <w:r>
              <w:rPr>
                <w:caps w:val="false"/>
                <w:smallCaps w:val="false"/>
              </w:rPr>
              <w:t xml:space="preserve"> </w:t>
            </w:r>
            <w:r>
              <w:rPr>
                <w:rFonts w:ascii="Times New Roman;Times;serif" w:hAnsi="Times New Roman;Times;serif"/>
                <w:b w:val="false"/>
                <w:i w:val="false"/>
                <w:caps w:val="false"/>
                <w:smallCaps w:val="false"/>
                <w:sz w:val="20"/>
              </w:rPr>
              <w:t xml:space="preserve">0.6 mg (BXCL701 0.3 mg BID); </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Final Cohort:</w:t>
            </w:r>
            <w:r>
              <w:rPr>
                <w:caps w:val="false"/>
                <w:smallCaps w:val="false"/>
              </w:rPr>
              <w:t xml:space="preserve"> </w:t>
            </w:r>
            <w:r>
              <w:rPr>
                <w:rFonts w:ascii="Times New Roman;Times;serif" w:hAnsi="Times New Roman;Times;serif"/>
                <w:b w:val="false"/>
                <w:i w:val="false"/>
                <w:caps w:val="false"/>
                <w:smallCaps w:val="false"/>
                <w:sz w:val="20"/>
              </w:rPr>
              <w:t xml:space="preserve">0.8 mg (BXCL701 0.4 mg BID) daily </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 DLTs were observed and the study was closed due to poor enrollment on 31 Aug 2025 with an incomplete final cohort. Pharmacokinetic analysis is underway to determine PK parameters associated with single agent dosing in AML patients using this novel dosing regimen.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Immuno-Oncology Manufacturing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rely on third party contract manufacturing organizations to support development and manufacture of product candidates for our clinical trials, and, if any of our current or future product candidates receives marketing approval, we expect to rely on such manufacturers to meet commercial demand. We expect this strategy will enable us to maintain a more efficient infrastructure, avoiding dependence on our own manufacturing facility and equipment, while simultaneously enabling us to focus our expertise on the clinical development and future commercialization of our products. Drug substance is produced by Aptuit (Oxford) Ltd, an Evotec Company, and drug product by Pharma Services (Patheon) by Thermo Fisher Scientific. We expect to enter into commercial supply agreements with these manufacturers prior to any potential approval of BXCL701.</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BXCL701 drug product is manufactured via conventional pharmaceutical processing procedures, employing commercially available excipients and packaging materials. The procedure and equipment employed for manufacture and analysis are consistent with standard organic synthesis or pharmaceutical production, and are transferable to a range of manufacturing facilities, if needed. We have selected a larger third-party drug product manufacturer and will be executing technology transfer of drug product manufacture to a larger manufacturer. We also plan to maintain the current drug substance and product manufacturer as part of our supply chain strategy.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Immuno-Oncology Competition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biotechnology and pharmaceutical industries have made substantial investments in recent years into the rapid development of novel immunotherapies for the treatment of a range of pathologies, including infectious diseases and cancers, making this a highly competitive market. We believe BXCL701 is the only innate immune system activator in clinical development specifically addressing the cold tumor problem in immuno-oncology.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Large pharmaceutical companies that have commercialized or are developing immunotherapies to treat cancer include AstraZeneca AB, Bristol-Myers Squibb Company, Merck &amp; Co., Inc., Novartis AG, Pfizer Inc., and F. Hoffmann-La Roche Ltd.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face significant competition from pharmaceutical and biotechnology companies that target specific tumor-associated antigens using immune cells or other cytotoxic modalities. These generally include immune cell redirecting therapeutics such as T cell engagers, adoptive cellular therapies such as CAR-Ts, antibody drug conjugates, targeted radiopharmaceuticals, targeted immunotoxin, and targeted cancer vaccines.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Clinical stage companies that compete with us directly on the level of the development of product candidates targeting the innate immune system include Amgen Inc., Mirati Therapeutics, Inc., Bristol- Myers Squibb Company, Ryvu Therapeutics, Merck &amp; Co., Inc., Replimune Group Inc., Nektar Therapeutics, Novartis AG, Xbiotech Inc., Stingthera, Inc., AstraZeneca AB, F. Hoffmann-La Roche Ltd and Aravive, Inc. Clinical stage companies that compete with us directly on the level of the development of product candidates targeting the mCRPC include Astellas Pharma Inc., Pfizer Inc., Bayer AG, Janssen, Sanofi S.A., Clovis Oncology, Inc., AstraZeneca AB, Merck &amp; Co., Inc., GSK plc, Tempest Therapeutics, Inc., Zenith Epigenetics Ltd. and Gossamer Bio, Inc. Clinical stage companies that compete with us directly on the level of the development of product candidates utilizing the therapeutic potential of synthetic lethality include Repare Therapeutics Inc., IDEAYA Biosciences, Inc. and Tango Therapeutics, Inc.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commercial opportunity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Immuno-Oncology Intellectual Property</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 inclusion in expedited development and review, data exclusivity, market exclusivity, and patent term extensions where available. </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March 1, 2026, we have multiple patent families filed to protect our immuno-oncology program, including our core patent family directed to methods of using BXCL701 with immune checkpoint inhibitors, which is granted in the U.S., Japan, Australia, Canada, Russia, China, India, Taiwan, South Africa, Mexico, New Zealand, Europe and United Arab Emirates.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2039. A corresponding European Patent case directed to selecting patients is issued and is expected to expire no earlier than 2039.</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Additional applications are directed to administering BXCL701 in combination with various other molecules, biomarkers, and dosing regimens. We have zero pending PCT applications directed to novel formulations of BXCL701, various dosing regimens, methods of use, combination therapies, and to methods of treating small cell lung cancer. We expect that any patents issuing from the PCT and provisional applications will expire no earlier than 2043 to 2044.</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expect to file additional patent applications in support of current and new immuno-oncology clinical candidates as well as new platform and core technologies. For additional information regarding intellectual property regulations and risks, see above under “—Neuroscience—Neuroscience Intellectual Property” and Part I, Item 1A, “Risk Factors - Risks Related to Our Intellectual Property.”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Our Relationship with BioXcel LLC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March 26, 2026, BioXcel LLC holds an ownership interest of approximately 1.8% in the Company and our pipeline compounds were identified by applying our internal AI capabilities, along with BioXcel LLC’s EvolverAI, a proprietary pharmaceutical discovery and development engine, for drug re-innovation.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entered into the Amended and Restated Asset Contribution Agreement (the “Contribution Agreement”), pursuant to which BioXcel LLC, agreed to contribute BioXcel LLC’s rights, title and interest in BXCL501, BXCL701, BXCL502 and BXCL702, and all of the assets and liabilities associated in consideration for (i) 592,500 shares of our common stock, (ii) $1 million upon completion of an initial public offering, (iii) $500,000 upon the later of the 12-month anniversary of an initial public offering and the first dosing of a patient in the bridging bioavailability/bioequivalence study for the BXCL501 program, (iv) $500,000 upon the later of the 12 month anniversary of an initial public offering and the first dosing of a patient in the Phase 2 proof of concept open-label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contributed product candidates or a product derived therefrom. As of December 31, 2024, all of the foregoing have been paid except for (v).</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entered into a Separation and Shared Services Agreement with BioXcel LLC that took effect on June 30, 2017, as amended and restated thereafter (the “Services Agreement”), pursuant to which services provided by BioXcel LLC through its subsidiaries in India and the U.S. will continue indefinitely, as agreed upon by the parties. These services include certain intellectual property prosecution and management and research and development activities. The Company had an option, exercisable until December 31, 2024, to enter into a collaborative services agreement with BioXcel LLC pursuant to which BioXcel LLC shall perform product identification and related services for us utilizing EvolverAI, its proprietary pharmaceutical discovery and development engine. To maintain the ability to exercise the foregoing option, pursuant to an amendment to the Services Agreement effective as of April 19, 2022, the Company agreed to pay BioXcel LLC $18,000 per month from March 13, 2023 to December 31, 2024. This option was not exercised. However, BioXcel LLC continues to perform certain administrative services under the terms of the expired contract.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parties were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did not exceed $10 million in the aggregate and were not to be payable prior to proof of concept in humans and (ii) commercialization milestone payments were to be based on reaching annual net sales levels, were to be limited to 3% of the applicable net sales level, and were not exceed $30 million in the aggregate. However, subsequent to December 31, 2024 no development activity has been carried out by BioXcel LLC and none is contemplated.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Service charges recorded under the Services Agreement were $0.6 million and $1.3 million for the years ended December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Government Regulation and Product Approval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Government authorities in the U.S.,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U.S. federal, state, and local and foreign statutes and regulations require the expenditure of substantial time and financial resources.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U.S. Drug Development Process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the U.S., the FDA regulates drugs under the federal Food, Drug, and Cosmetic Act (“FDCA”), and its implementing regulations. The process required by the FDA before a drug may be marketed in the U.S. generally involves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laboratory tests, animal studies, and formulation studies in accordance with FDA’s Good Laboratory Practice requirements and other applicable regulations;</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IND, which must become effective before human clinical trials may begin;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Institutional Review Board (“IRB”) or ethics committee at each clinical site before each clinical trial may be initiated;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in accordance with good clinical practices (“GCPs”) to establish the safety and efficacy of the proposed drug for its intended use;</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the FDA of an NDA after completion of all pivotal clinical trials;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an NDA to file the application for review;</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potential inspection of selected clinical investigation sites to assess compliance with GCPs;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NDA to permit commercial marketing of the product for specified indications for use in the U.S.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Prior to beginning the first clinical trial with a product candidate in the U.S., a sponsor must submit an IND to the FDA. An IND is a request for allowance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any clinical trials can begin. Submission of an IND may or may not result in FDA allowance to begin a clinical trial.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Clinical trials involve the administration of the investigational product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its investigators for actual or suspected serious and adverse events, along with any findings from other studies suggesting a significant risk to humans exposed to the same or similar drugs and findings from animal or in vitro testing suggesting a significant risk to humans, as well as any clinically important increased incidence of a suspected serious adverse reaction compared to that listed in the protocol or investigator brochure.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a study can move forward at designated check points, based on access to data from the study, and may halt the clinical trial if it determines that there is an unacceptable safety risk for subjects or other for other grounds, such as no demonstration of efficacy.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Human clinical trials are typically conducted in three sequential phases that may overlap or be combined: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some cases, the FDA may require, or companies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addition, during the development of a drug, sponsors are given opportunities to periodically meet with or seek feedback from the FDA. These interactions may be requested, for example, prior to submission of an IND, at the end of Phase 2, and before an NDA is submitted. These interactions can provide an opportunity for the sponsor to share information about the data gathered to date, for the FDA to provide advice, and for the sponsor and the FDA to reach alignment on the next phase of development. </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U.S. Review and Approval Process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and of ten months from the date of NDA receipt to complete a standard review of an NDA for a drug that is not a new molecular entity.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FDA may refer an application for a novel drug to an advisory committee. An advisory committee is a panel of independent experts, including clinicians and other scientific experts, that review, evaluate and provide a recommendation as to whether the NDA should be approved and under what conditions. The FDA is not bound by the recommendations of an advisory committee, but it considers such recommendations carefully when making decisions.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Before approving an NDA,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Additionally, before approving an NDA, the FDA will typically inspect one or more clinical trial sites to assure compliance with GCPs.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and sale of the product with specific prescribing information for specific indications.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or, address all of the deficiencies identified in the letter, or withdraw the application. Even if such data and information are submitted, the FDA may decide that the NDA does not satisfy the criteria for approval.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regulatory approval of a product is granted, such approval will be granted for specific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risk minimization tools. The FDA also may condition approval on, among other things, changes to proposed labeling or the development of adequate controls and specifications. The FDA may also require one or more post-market studies and additional surveillance programs to further assess and monitor the product’s safety and effectiveness after commercialization and may limit further marketing of the product based on the results of these post-marketing studies.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Expedited Development and Review Programs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FDA offers expedited development and review programs for qualifying product candidates. For example, the Fast Track program is intended to expedite or facilitate the process for reviewing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NDA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Breakthrough Therapy designation includes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application for a drug submitted to the FDA for approval, including a product candidate with a Fast Track designation and/or Breakthrough Therapy designation, may be eligible for other FDA review programs intended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priority review designation means the FDA’s goal is to take action on the application within six months of the 60-day filing date, or with respect to non-new-molecular-entity NDAs, within six months of the NDA receipt date.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Additionally, depending on the design of the applicable clinical studies,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accelerated approval. Products receiving accelerated approval may be subject to expedited withdrawal procedures if the sponsor fails to conduct the required confirmatory studies or if such studies fail to verify the predicted clinical benefit. In addition, the FDA currently requires pre-approval of promotional materials as a condition for accelerated approval, which could adversely impact the timing of the commercial launch of the relevant product.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Fast Track designation, Breakthrough Therapy designation, priority review, and accelerated approval do not change the standards for approval, but such designations may expedite the development or approval process. Even if a product candidate qualifies for one or more of these programs, the FDA may later decide that the product no longer meets the conditions to qualify for such program or may decide that the time period for FDA review or approval will not be shortened.</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Orphan Drug Designation and Exclusivity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the Orphan Drug Act, the FDA may grant orphan designation to a drug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in the U.S. will be recovered from sales in the U.S. for that drug. Orphan drug designation must be requested before submitting an NDA. After the FDA grants orphan drug designation, the generic identity of the therapeutic agent and its potential orphan use are disclosed publicly by the FDA.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costs and a waiver of the NDA user fee.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designated orphan drug may not receive orphan drug exclusivity if it is approved for a use that is broader than the disease or condition for which it received orphan designation. In addition, orphan drug exclusive marketing rights in the U.S.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Post-approval Requirements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Drug products manufactured or distributed pursuant to FDA approvals are subject to pervasive and continuing regulation by the FDA, including, among other things, requirements relating to record-keeping, reporting of adverse events,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FDA may withdraw approval if compliance with regulatory requirements and standards is not maintained or if problems occur after the product reaches the market.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product, complete withdrawal of the product from the market, or product recalls;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untitled letters;</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holds on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to approve pending applications or supplements to approved applications, or suspension or revocation of product approvals;</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products;</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 corporate integrity agreements, debarment or exclusion from federal health care programs;</w:t>
            </w:r>
          </w:p>
        </w:tc>
      </w:tr>
    </w:tbl>
    <w:tbl>
      <w:tblPr>
        <w:tblW w:w="9036" w:type="dxa"/>
        <w:jc w:val="left"/>
        <w:tblInd w:w="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mandated modification of promotional materials and labeling and the issuance of corrective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safety alerts, Dear Healthcare Provider letters, press releases, and other communications containing warnings or other safety information about the product; or</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Hatch-Waxman Act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Orange Book. Drugs listed in the Orange Book can, in turn, be cited by potential competitors in support of approval of an ANDA or 505(b)(2) NDA.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Hatch-Waxman Act establishes periods of non-patent regulatory exclusivity for certain approved drug products, during which the FDA cannot approve (or in some cases accept) an ANDA or 505(b)(2) application that relies on the branded reference drug. For example, the holder of an NDA, including a 505(b)(2) NDA, may obtain five years of non-patent data exclusivity upon approval of a new drug containing new chemical entities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 The Hatch-Waxman Act also provides three years of non-patent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 or sponsored by the applicant. This three-year exclusivity period protects against FDA approval of ANDAs and 505(b)(2) NDAs for the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FDA Approval and Regulation of Medical Devices and Companion Diagnostics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safe and effective use of a therapeutic depends on an in vitro diagnostic, then the FDA generally will require approval or clearance of that diagnostic, known as a companion diagnostic, at the same time that the FDA approves the therapeutic product. In August 2014, the FDA issued final guidance clarifying the requirements that apply to approval of therapeutic products and in vitro companion diagnostics. According to the guidance, if the FDA determines that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the FDCA, in vitro diagnostics, including companion diagnostics, are regulated as medical devices.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medical devices, including companion diagnostic tests, require marketing clearance or approval from the FDA prior to commercial distribution.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two primary types of FDA marketing authorization applicable to a medical device are premarket notification (“510(k) clearance”) and premarket approval (“PMA”). To obtain 510(k) clearance, a manufacturer must submit to the FDA a premarket notification submission demonstrating that the proposed device is “substantially equivalent” to a legally marketed predicate device. The FDA’s 510(k) clearance process usually takes from three to twelve months but may take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(i.e., high-risk)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After a device receives 510(k) clearance, any modification that could significantly affect its safety or effectiveness, or that would constitute a major change or modification in its intended use, will require a new 510(k) clearance or depending on the modification, approval of a PMA application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it receives 510(k) clearance, approval of a PMA application, or issuance of a de novo classification. Also, in these circumstances, the manufacturer may be subject to significant regulatory fines or penalties.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QSR which imposes elaborate testing, control, documentation and other quality assurance requirements.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Approval of a PMA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may be delayed for several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approval may be withdrawn by the FDA if compliance with post approval requirements, conditions of approval or other regulatory standards are not maintained, or problems are identified following initial marketing.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January 2024, the FDA announced that it intends to initiate the process to reclassify most in vitro diagnostic tests (“IVDs”) that are currently Class III into Class II, including companion diagnostics. If such reclassification efforts occur, any companion diagnostics that are the subject of the down-classification may no longer require premarket approval, but rather may become subject to the generally less burdensome 510(k) clearance process.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International Regulations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regulations in the U.S., we are and will be subject to a variety of regulations in other jurisdictions governing, among other things, clinical trials, marketing authorization, post-marketing requirements, and any commercial sales and distribution of our products. We must obtain the requisite approvals from regulatory authorities in foreign countries prior to the commencement of clinical trials or marketing of any products in those countries. The requirements and process governing the conduct of clinical trials,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Non-Clinical Studies and Clinical Trials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Similar to the U.S., the various phases of non-clinical and clinical research in the EU are subject to significant regulatory controls.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regulatory landscape related to clinical trials in the EU has been subject to recent changes. The EU Clinical Trials Regulation (“CTR”) which was adopted in April 2014 and repeals the EU Clinical Trials Directive, became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to any future MA application (“MAA”) of the product concerned. </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Marketing Authorization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order to market our product candidates in the EU and many other foreign jurisdictions, we must obtain separate regulatory approvals. More concretely, in the EU, medicinal products candidates can only be placed on the market after obtaining a MA. To obtain regulatory approval of a product candidate in the EU, we must submit a MAA. The process for doing this depends, among other things, on the nature of the medicinal product. There are two types of MAs: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Centralized MA”: are issued by the European Commission through the centralized procedure based on the opinion of the EMA’s CHMP and are valid throughout the EU. The centralized procedure is compulsory for certain types of medicinal products such as (i) medicinal products derived from biotechnology processes, such as genetic engineering, (ii) medicinal products containing a new active substance indicated for the treatment of certain diseases, such as HIV or AIDS, cancer, diabetes, neurodegenerative diseases, autoimmune and other immune dysfunctions and viral diseases, (iii) designated orphan medicinal products, and (iv) advanced therapy medicinal products (“ATMPs”) such as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National MA”: are issued by the competent authorities of the EU member states, only cover their respective territory, and are available for product candidates not falling within the mandatory scope of the centralized MAs.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dossier is submitted to the competent authorities of each of the member states in which the MA is sought, one of which is selected by the applicant as the reference member state.</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the centralized procedure, the maximum timeframe for the evaluation of a MAA by the EMA is 210 days. This excludes so-called clock stops, during which additional written or oral information is to be provided by the applicant in response to questions asked by the CHMP. At the end of the review period, the CHMP provides an opinion to the European Commission. If this opinion is favorable, the European Commission may then adopt a decision to grant an MA.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 xml:space="preserve">Data and Marketing Exclusivity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EU also provides opportunities for market exclusivity. Upon receiving an MA, reference product generally receives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Orphan Medicinal Products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criteria for designating an “orphan medicinal product” in the EU are similar in principle to those in the U.S.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application for orphan drug designation must be submitted before the MAA. Orphan designation entitles a party to incentives such as fee reductions or fee waivers, protocol assistance, and access to the Centralized MA process. Upon grant of a MA, orphan medicinal products are entitled to 10 years of market exclusivity for the approved therapeutic indication. During the 10-year market exclusivity period, the competent authorities cannot accept a MAA, or grant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MA, or accept an application to extend a MA, for the same indication, in respect of a similar medicinal product.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drug designation does not convey any advantage in, or shorten the duration of, the regulatory review and approval process.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aforementioned EU rules are generally applicable in the European Economic Area (“EEA”), which consists of the 27 EU member states plus Iceland, Liechtenstein, Norway, Switzerland and Turkey, as well as cooperating countries Albania, Bosnia and Herzegovina, Kosovo, Montenegro, North Macedonia, and Serbia.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however new legislation such as the EU CTR is not applicable in Great Britain (“GB”).</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Trade and Cooperation Agreement (“TCA”) became effective on January 1, 2021. The TCA includes specific provisions concerning pharmaceuticals, which include the mutual recognition of Good Manufacturing Practice (“GMP”) inspections of manufacturing facilities for medicinal products and GMP documents issued, but does not foresee wholesale mutual recognition of UK and EU pharmaceutical regulations.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Other Foreign Regulations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other countries outside of Europe, such as countries in Eastern Europe, Latin America, or Asia, the requirements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Regulation of Companion Diagnostics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the EU, in vitro diagnostic medical devices were regulated by Directive 98/79/EC, which regulated the placing on the market, the CE marking, the essential requirements, the conformity assessment procedures, the registration obligations for manufacturers and devices, as well as the vigilance procedure. In vitro diagnostic medical devices had to comply with the requirements provided for in the Directive, and with further requirements implemented at national level (as the case may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regulation of companion diagnostics is subject to further requirements since in-vitro medical diagnostic devices Regulation (No 2017/746) (“IVDR”) became applicable on May 26, 2022. The IVDR applies since May 26, 2022, but there is a tiered system extending the grace period for many devices (depending on their risk classification) before they have to be fully compliant with the Regulation.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process for the authorization of medicines, or the medicinal product is already authorized through the centralized procedure process, or an MAA for the medicinal product has been submitted through the centralized procedure process. For other substances, the notified body can seek the opinion from a national competent authority or the EMA.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aforementioned EU rules are generally applicable in the EEA. </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Pharmaceutical Coverage, Pricing and Reimbursement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Significant uncertainty exists as to the coverage and reimbursement status of drug products for which we obtain regulatory approval. In the U.S. and other countries, sales of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marketability of products for which we receive regulatory approval for commercial sale may suffer if the government and third-party payors fail to provide adequate coverage and reimbursement. In addition, an increasing emphasis on managed care in the U.S. has increased and we expect will continue to increase the pressure on pharmaceutical pricing. Coverage policies and third-party reimbursement rates may change at any time. Recently, the U.S. government has increased its focus on drug pricing in the US, including through “most favored nation” pricing initiatives. Even if favorable coverage and reimbursement status is secured for one or more products for which we receive regulatory approval, less favorable coverage policies and reimbursement rates may be implemented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To raise sufficient financial resources to commercialize our approved products and continue to advance our product candidates, we will need to address pricing pressures and potential third-party reimbursement coverage for our approved products and product candidates. In the U.S. and elsewhere, sales of pharmaceutical products depend in significant part on the availability of reimbursement to the consumer from third-party payors, such as government payors, like Medicare and Medicaid, and private insurance plans. Third-party payors are increasingly challenging the prices charged for medical products and services. It is and will continue to be time consuming and expensive for us or our strategic collaborators to go through the process of seeking reimbursement from Medicare and private payors. Our products may not be considered cost-effective, and coverage and reimbursement may not be available or sufficient to allow us to sell our products on a competitive and profitable basis.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Healthcare Reform</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participate in the Medicaid Drug Rebate Program and other federal and state government pricing programs in the U.S., and we may participate in additional government pricing programs in the future. The U.S. government and other governments have shown significant interest in pursuing health care reform, which has resulted in changes to these programs and impacts IGALMI</w:t>
      </w:r>
      <w:r>
        <w:rPr>
          <w:rFonts w:ascii="Times New Roman;Times;serif" w:hAnsi="Times New Roman;Times;serif"/>
          <w:sz w:val="15"/>
        </w:rPr>
        <w:t>®</w:t>
      </w:r>
      <w:r>
        <w:rPr>
          <w:rFonts w:ascii="Times New Roman;Times;serif" w:hAnsi="Times New Roman;Times;serif"/>
          <w:sz w:val="20"/>
        </w:rPr>
        <w:t xml:space="preserve"> and our product candidates that may be approved. For example, in March 2010, the Patient Protection and Affordable Care Act (“ACA”) was enacted and substantially changed the way health care is financed in the U.S. by both government and private insurers. Among other cost containment measures, the ACA established: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nondeductible fee on any entity that manufactures or imports certain branded prescription drugs and biologic agents;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Medicare Part D coverage gap discount program, in which pharmaceutical manufacturers who wish to have their drugs covered under Part D must offer discounts to eligible beneficiaries during their coverage gap period, or the “donut hole”; and</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formula that increases the rebates a manufacturer must pay under the Medicaid Drug Rebate Program.</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Since its enactment, there have been judicial, executive and congressional challenges to certain aspects of the ACA. On June 17, 2021, the U.S. Supreme Court dismissed the most recent judicial challenge to the ACA without specifically ruling on the constitutionality of the ACA. Thus, the ACA will remain in effect in its current form. In addition, we expect that federal, state, and local governments in the U.S. will continue to consider legislation to limit the growth of health care costs, including the cost of prescription drugs. Future legislation could limit payments for pharmaceuticals such as IGALMI</w:t>
      </w:r>
      <w:r>
        <w:rPr>
          <w:rFonts w:ascii="Times New Roman;Times;serif" w:hAnsi="Times New Roman;Times;serif"/>
          <w:sz w:val="15"/>
        </w:rPr>
        <w:t>®</w:t>
      </w:r>
      <w:r>
        <w:rPr>
          <w:rFonts w:ascii="Times New Roman;Times;serif" w:hAnsi="Times New Roman;Times;serif"/>
          <w:sz w:val="20"/>
        </w:rPr>
        <w:t xml:space="preserve"> and the product candidates that we are developing.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Other legislative changes have been proposed and adopted since the ACA was enacted, including aggregate reductions of Medicare payments to providers, which will remain in effect through 2032, absent additional congressional action.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More recently, in March 2021, Congress enacted the American Rescue Plan Act of 2021, which, among other things, eliminated the statutory Medicaid drug rebate cap, effective January 1, 2024. The rebate was previously capped at 100% of a drugs average manufacturer price.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impact of the IRA on the pharmaceutical industry and our business cannot yet be fully determined, it is likely to be significant.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the sales of any drug candidate that we commercialize and negatively impact the pharmaceutical industry in general.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individual U.S.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pricing systems and publication of discounts and list prices.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Future legislation could limit payments for pharmaceuticals such as IGALMI</w:t>
      </w:r>
      <w:r>
        <w:rPr>
          <w:rFonts w:ascii="Times New Roman;Times;serif" w:hAnsi="Times New Roman;Times;serif"/>
          <w:sz w:val="15"/>
        </w:rPr>
        <w:t xml:space="preserve">® </w:t>
      </w:r>
      <w:r>
        <w:rPr>
          <w:rFonts w:ascii="Times New Roman;Times;serif" w:hAnsi="Times New Roman;Times;serif"/>
          <w:sz w:val="20"/>
        </w:rPr>
        <w:t>and the product candidates that we are developing.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 The implementation of cost-containment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Other Health Care Laws and Compliance Requirements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approved products, we may be subject to various federal, state, and foreign laws targeting fraud and abuse in the health care industry. Such laws include, without limitation, U.S. federal and state anti-kickback, fraud and abuse, false claims, consumer fraud, and transparency laws and regulations with respect to drug pricing and payments and other transfers of value made to physicians and other health care professionals, as well as similar foreign laws in jurisdictions outside the U.S.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 care program, such as the Medicare and Medicaid programs. A person or entity does not need to have actual knowledge of this statute or specific intent to violate it in order to have committed a violation. Many states have adopted laws similar to the federal Anti-Kickback Statute, some of which apply to the referral of patients for health care items or services reimbursed by any source, not only the Medicare and Medicaid programs.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federal False Claims Act imposes liability on any person who, among other things, knowingly presents, or causes to be presented, a false or fraudulent claim for payment by a federal health care program. In addition, the government may assert that a claim including items or services resulting from a violation of the federal Anti-Kickback Statute constitutes a false or fraudulent claim for purposes of the False Claims Act. The “qui tam” provisions of the False Claims Act allow a private individual to bring civil actions on behalf of the federal government alleging that the defendant has submitted a false claim to the federal government, and to share in any monetary recovery. In addition, various states have enacted false claims laws analogous to the False Claims Act. Many of these state laws apply where a claim is submitted to any third-party payer and not merely a federal health care program. When an entity is determined to have violated the False Claims Act, it may be required to pay up to three times the actual damages sustained by the government, plus significant civil penalties for each separate false claim.</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Also, the Health Insurance Portability and Accountability Act of 1996 (“HIPAA”) created several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this statute or specific intent to violate it in order to have committed a violation.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Physician Payment Sunshine Act (the “Sunshine Act”), which was enacted as part of the ACA, requires applicable manufacturers of drugs, devices, biologicals, or medical supplies covered under Medicare, Medicaid or the Children’s Health Insurance Program, to report annually to the Secretary of the Department of Health and Human Services payments or other transfers of value made by that entity, or by a third-party as directed by that entity, to physicians (defined to include doctors, dentists, optometrists, podiatrists, and chiropractors), certain non-physician providers including physician assistants and nurse practitioners, and teaching hospitals, or to third parties on behalf of such providers, as well as ownership and investment interests held by physicians and their immediate family members during the course of the preceding calendar year. Failure to comply with the reporting requirements can result in significant civil monetary penalties for any payment or other transfer of value that is not reported.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Moreover, analogous state and foreign laws and regulations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 care providers, many of which differ from each other in significant ways, thus further complicating compliance efforts; and restrict marketing practices or require disclosure of marketing expenditures and pricing information.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Violations of any of these laws or any other governmental laws and regulations that may apply include, without limitation, significant civil, criminal and administrative penalties, damages, fines, imprisonment, exclusion of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from government funded health care programs, such as Medicare and Medicaid, disgorgement, contractual damages, reputational harm, diminished profits, and the curtailment or restructuring of our operations.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Data Privacy &amp; Security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and the EU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Additionally, our use of AI and machine learning may be subject to laws and evolving regulations regarding the use of AI or machine learning, controlling for data bias, and anti-discrimination.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Human Capital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Employees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In August 2023, our Board of Directors approved the Clinical Reprioritization. Following a comprehensive review of the business, we determined to focus on high-potential agitation-market opportunities. These actions also included a shift in commercial strategy for IGALMI</w:t>
      </w:r>
      <w:r>
        <w:rPr>
          <w:rFonts w:ascii="Times New Roman;Times;serif" w:hAnsi="Times New Roman;Times;serif"/>
          <w:sz w:val="15"/>
        </w:rPr>
        <w:t>®</w:t>
      </w:r>
      <w:r>
        <w:rPr>
          <w:rFonts w:ascii="Times New Roman;Times;serif" w:hAnsi="Times New Roman;Times;serif"/>
          <w:sz w:val="20"/>
        </w:rPr>
        <w:t xml:space="preserve"> in the institutional setting, a reduction of in-hospital commercialization expenses, a suspension of programs no longer deemed core to our business, and a shift in focus to develop BXCL501 for use in the at-home setting in the treatment of agitation in schizophrenia, bipolar disorders, and in patients with mild to moderate dementia due to probable Alzheimer’s disease. </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May,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recorded total restructuring costs of $0.9 million for the three months ended June 30, 2024. These costs consisted of severance and benefit costs, all of which were paid during the three month period ended June 30, 2024.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In September, 2024, the Company approved a plan for an additional reduction its workforce by 15 employees, or approximately 28% of the Company’s headcount (the “Clinical Reprioritization”), in order to extend its cash runway and prioritize investment on the clinical development of its lead neuroscience asset, BXCL501. The Company recorded total restructuring costs of $1.6 million for the three months ended September 30, 2024. These costs also consisted of severance and benefit costs. The Company completed the Clinical Reprioritization in October 2024 and paid $1.0 million of related costs during the fourth quarter of 2024, $0.5 million during the first quarter of 2025, and paid the remaining $0.1 million during the second quarter of 2025.</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recorded restructuring costs of $0.2 million and $2.4 million in the years ended December 31, 2025 and 2024, respectively. As of December 31, 2025 and 2024, respectively, we had 29 and 37 full-time employees.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Culture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believe that the success of our human capital management investments is evidenced by our low employee turnover, despite the difficult restructuring actions recently taken, and is regularly reviewed by our Board of Directors as part of their oversight of our human capital strategy.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Employee Engagement, Talent Development &amp; Benefits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believe that our future success largely depends upon our continued ability to attract and retain highly skilled employees. We provide our employees with competitive salaries, bonuses, opportunities for equity ownership and other comparable benefits for our industry.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Employee and Visitor Safety Protocols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follow health and safety guidelines to protect the well-being of our employees and visitors.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Our Corporate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was incorporated as a Delaware corporation on March 29, 2017. Our principal executive offices are located at 555 Long Wharf Drive, New Haven, CT 06511 and our telephone number is (475) 238-6837.</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website address is www.bioxceltherapeutics.com.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available free of charge on our website as soon as reasonably practicable after we file such reports with, or furnish such reports to, the SEC.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use our website as a distribution channel of material information about the Company. Financial and other important information regarding the Company is routinely posted on and accessible through the Investors &amp; Media sections of our website at www.bioxceltherapeutics.com. In addition, you may automatically receive email alerts and other information about the Company when you enroll your email address by visiting the “Email Alerts” option under the News / Events menu of the Investors &amp; Media section of our website at www.bioxceltherapeutics.com.</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reference to our website address does not constitute incorporation by reference of the information contained on or available through our website, and you should not consider such information to be a part of this Annual Report on Form 10-K.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38" w:name="Item1ARiskFactors_143189"/>
      <w:bookmarkStart w:id="39" w:name="_1f406aee_d621_4c4e_adbb_e8aec2973b79"/>
      <w:bookmarkEnd w:id="38"/>
      <w:bookmarkEnd w:id="39"/>
      <w:r>
        <w:rPr>
          <w:rFonts w:ascii="Times New Roman;Times;serif" w:hAnsi="Times New Roman;Times;serif"/>
          <w:b/>
          <w:sz w:val="20"/>
        </w:rPr>
        <w:t>Item 1A. Risk Factors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Financial Position and Need for Additional Capital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identified conditions and events that raise substantial doubt regarding our ability to continue as a going concern.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we had $28.8 million in cash, cash equivalents and restricted cash.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Annual Report on Form 10-K (this “Annual Report”). This condition raises substantial doubt about our ability to continue as a going concern for at least one year from the date that our financial statements for the year ended December 31, 2025 are issued. In order to mitigate liquidity issues, we have undertaken the Clinical Reprioritization and other restructuring actions,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Credit Agreement (as defined below) contains, among other things, a covenant requiring that our audited annual financial statements be delivered without a "going concern" or like qualification or exception. On March 27, 2026, we entered into the Ninth Amendment to the Credit Agreement (the “Ninth Amendment”), which included, among other things, (i) a waiver of the “going concern” qualification for our audited annual financial statements for the year ended December 31, 2025 and (ii) a $2.5 million reduction in the Credit Agreement’s minimum liquidity covenant. In connection with the Ninth Amendment we agreed to (i) make a one-time prepayment of the principal amount of $2.5 million, together with accrued and unpaid interest thereon, by March 31, 2026, (ii) on or prior to April 15, 2026, at the Company’s option either (A) pay the Lenders (as defined below) an amendment fee of approximately $2.0 million or (B) grant warrants to the Lenders to purchase up to 1,353,729 shares of our common stock, at an exercise price of $0.01 per share and (iii) following receipt of aggregated gross proceeds following the effective date of the Ninth Amendment from (a) the issuance of the Company’s common stock, warrants and/or pre-funded warrants, (b) non-refundable cash consideration from partnering transactions, (c) the issuance of the Company’s subordinated debt and/or (d) sales by the Company of its assets, in each case ((a) through (d)), in transactions permitted under the Credit Agreement (“Capital Raise Activities”), make a prepayment of the loans under the Credit Agreement in an aggregate principal amount equal to 50% of such gross cash proceeds, together with accrued interest thereon and any fees or premia (including prepayment premium) payable in connection therewith; provided that such prepayment requirement shall not be applicable (A) with respect to the first $2.5 million gross proceeds received from Capital Raise Activities and (B) once the aggregate principal amount of the prepaid pursuant to one or more of such prepayments equals $2.5 million. Even with the Ninth Amendment, we face short term financing pressure and there is no assurance that we will be able to raise sufficient capital to fund our continuing operations and remain in compliance with our minimum liquidity covenant. For additional cost-saving and other strategic initiatives we may be compelled to pursue, see the risk factor entitled, “</w:t>
      </w:r>
      <w:r>
        <w:rPr>
          <w:rFonts w:ascii="Times New Roman;Times;serif" w:hAnsi="Times New Roman;Times;serif"/>
          <w:i/>
          <w:sz w:val="20"/>
        </w:rPr>
        <w:t>We will need substantial additional funding, and if we are unable to raise capital when needed, we could be forced to delay, reduce or eliminate our product development programs or commercialization efforts or otherwise seek strategic alternatives.”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a limited operating history and have not generated substantial product revenues to date, which may make it difficult to evaluate the success of our business and to assess our future viability.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expect our financial condition and operating results to continue to fluctuate from quarter to quarter and year to year due to a variety of factors, many of which are beyond our control. We are focused primarily on research and development while continuing to support IGALMI</w:t>
      </w:r>
      <w:r>
        <w:rPr>
          <w:rFonts w:ascii="Times New Roman;Times;serif" w:hAnsi="Times New Roman;Times;serif"/>
          <w:sz w:val="15"/>
        </w:rPr>
        <w:t>®</w:t>
      </w:r>
      <w:r>
        <w:rPr>
          <w:rFonts w:ascii="Times New Roman;Times;serif" w:hAnsi="Times New Roman;Times;serif"/>
          <w:sz w:val="20"/>
        </w:rPr>
        <w:t xml:space="preserve"> commercial activities. We may encounter unforeseen expenses, difficulties, complications and delays, and may not be successful in such a transition.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operating losses since inception and anticipate that we will continue to incur substantial operating losses for the foreseeable future and may never achieve or maintain profitability.</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Since our inception, we have incurred significant operating losses. Our net loss was $69.9 million and $59.6 million for the years ended December 31, 2025 and 2024, respectively. As of December 31, 2025, we had a stockholders’ deficit of approximately $95.5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Times;serif" w:hAnsi="Times New Roman;Times;serif"/>
          <w:sz w:val="15"/>
        </w:rPr>
        <w:t>®</w:t>
      </w:r>
      <w:r>
        <w:rPr>
          <w:rFonts w:ascii="Times New Roman;Times;serif" w:hAnsi="Times New Roman;Times;serif"/>
          <w:sz w:val="20"/>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may increase in the long term as we:</w:t>
      </w:r>
    </w:p>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preclinical studies and clinical trials for our current product candidates and any future product candidates that we may pursue;</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maintain, expand and protect our intellectual property portfolio;</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regulatory approvals for our current and future product candidates that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develop an appropriate sales, marketing, and distribution infrastructure to commercialize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any other product candidates for which we may obtain marketing approval;</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hire additional clinical, commercial, regulatory, scientific and finance personnel; and</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as a public company.</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Times;serif" w:hAnsi="Times New Roman;Times;serif"/>
          <w:sz w:val="15"/>
        </w:rPr>
        <w:t>®</w:t>
      </w:r>
      <w:r>
        <w:rPr>
          <w:rFonts w:ascii="Times New Roman;Times;serif" w:hAnsi="Times New Roman;Times;serif"/>
          <w:sz w:val="20"/>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Although we have obtained U.S. FDA approval for IGALMI</w:t>
      </w:r>
      <w:r>
        <w:rPr>
          <w:rFonts w:ascii="Times New Roman;Times;serif" w:hAnsi="Times New Roman;Times;serif"/>
          <w:sz w:val="15"/>
        </w:rPr>
        <w:t>®</w:t>
      </w:r>
      <w:r>
        <w:rPr>
          <w:rFonts w:ascii="Times New Roman;Times;serif" w:hAnsi="Times New Roman;Times;serif"/>
          <w:sz w:val="20"/>
        </w:rPr>
        <w:t xml:space="preserve">,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experience such costs or delays, as discussed in the risk factor below entitled: “</w:t>
      </w:r>
      <w:r>
        <w:rPr>
          <w:rFonts w:ascii="Times New Roman;Times;serif" w:hAnsi="Times New Roman;Times;serif"/>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Even if we do achieve profitability, we may not be able to sustain or increase profitability on a quarterly or annual basis.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We will need substantial additional funding, and if we are unable to raise capital when needed, we could be forced to delay, reduce or eliminate our product development programs or commercialization efforts or otherwise seek strategic alternatives.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have been and may continue to be required to expend significant funds to continue to commercialize IGALMI</w:t>
      </w:r>
      <w:r>
        <w:rPr>
          <w:rFonts w:ascii="Times New Roman;Times;serif" w:hAnsi="Times New Roman;Times;serif"/>
          <w:sz w:val="15"/>
        </w:rPr>
        <w:t>®</w:t>
      </w:r>
      <w:r>
        <w:rPr>
          <w:rFonts w:ascii="Times New Roman;Times;serif" w:hAnsi="Times New Roman;Times;serif"/>
          <w:sz w:val="20"/>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Management believes that the Company’s cash, cash equivalents and restricted cash of $28.8 million as of December 31, 2025, plus the $0.5 million of gross proceeds from sales pursuant to the Company ATM Program after December 31, 2025, as well as the $8.0 million of gross proceeds received by the Company in its registered direct offering in March 2026, will allow the Company to fund its operations and meet its liquidity requirements into the second quarter of 2026. There can be no assurance that we will be able to extend our cash runway.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consume capital significantly faster than we currently anticipate, and we may need to seek additional funds sooner than planned. Our future funding requirements, both short-term and long-term,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timing, costs, and results of clinical trials of our product candidates, including any delays that have occurred or may occur due to the recent developments with the TRANQUILITY program;</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and the terms and timing of any collaborations, licensing agreements or other arrangements;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seeking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costs of commercialization activities for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for any of our product candidates that receive marketing approval, to the extent such costs are not the responsibility of any future collaborators, including the costs and timing of establishing product sales, marketing, distribution and manufacturing capabilities;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revenue received from commercial sales of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our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and defending against intellectual property related claims;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future product candidates that we pursue and their development requirements;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policies or laws that may affect our operations;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physician acceptance or medical society recommendations that may affect commercial efforts;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potential new product candidates or technology;</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operations continue;</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legal proceedings and investigations; and</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adverse market conditions or other macroeconomic factors.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we had aggregate principal indebtedness of $112.2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certain minimum cash liquidity amounts. In addition, certain events, including certain regulatory events and any “going concern” or similar qualification in a report of the Company’s independent registered public accountants relating to the Company’s annual financial statements (except for the years ended December 31, 2023, 2024 and 2025, which have been waived pursuant to the Ninth Amendment), constitute an event of default under the Credit Agreement.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Credit Agreement also includes other covenants relating to certain change of control events can also trigger an event of default under the Credit Agreement, including control by any entity or group of entities, other than BioXcel LLC and its affiliates, that acquires 35% or more of our voting capital stock. The Credit Agreement also contains a minimum liquidity covenant that, as of September 30, 2025, requires us to maintain at all times at least $15.0 million of unrestricted cash and cash equivalents, which was reduced to $12.5 million of unrestricted cash and cash equivalents in the Ninth Amendment. Additionally, pursuant to the Fifth Amendment to our Credit Agreement, we are required to make quarterly amortization payments equal to 5.0% of the principal amount outstanding under the Credit Agreement, together with applicable prepayment fees, beginning on March 31, 2026. These covenants may limit our flexibility in operating our business and our ability to take actions that might be advantageous to us and our shareholders. </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Times;serif" w:hAnsi="Times New Roman;Times;serif"/>
          <w:sz w:val="15"/>
        </w:rPr>
        <w:t>®</w:t>
      </w:r>
      <w:r>
        <w:rPr>
          <w:rFonts w:ascii="Times New Roman;Times;serif" w:hAnsi="Times New Roman;Times;serif"/>
          <w:sz w:val="20"/>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or otherwise exercise the rights of a secured creditor. In such a situation, it is unlikely that we would be able to cure our breach, fulfill our obligations, make required payments or otherwise cover our fixed costs, which would have a material adverse effect on our business, results of operations and financial condition.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Additionally, under the terms of the Ninth Amendment, following receipt of aggregated gross proceeds from Capital Raise Activities, we have agreed to make a prepayment of the loans under the Credit Agreement in an aggregate principal amount equal to 50% of such gross cash proceeds, together with accrued interest thereon and any fees or premia (including prepayment premium) payable in connection therewith; provided that such prepayment requirement shall not be applicable (A) with respect to the first $2.5 million gross proceeds received from Capital Raise Activities and (B) once the aggregate principal amount of the prepaid pursuant to one or more of such prepayments equals $2.5 million.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Clinical Reprioritization and other workforce reductions may not achieve our intended outcome.</w:t>
      </w:r>
    </w:p>
    <w:p>
      <w:pPr>
        <w:pStyle w:val="TextBody"/>
        <w:bidi w:val="0"/>
        <w:spacing w:before="0" w:after="0"/>
        <w:ind w:left="0" w:right="0" w:hanging="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August 2023, we announced a broad-based strategic clinical reprioritization (the “Clinical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Times;serif" w:hAnsi="Times New Roman;Times;serif"/>
          <w:sz w:val="15"/>
        </w:rPr>
        <w:t>®</w:t>
      </w:r>
      <w:r>
        <w:rPr>
          <w:rFonts w:ascii="Times New Roman;Times;serif" w:hAnsi="Times New Roman;Times;serif"/>
          <w:sz w:val="20"/>
        </w:rPr>
        <w:t xml:space="preserve"> in the institutional setting, a reduction of in-hospital commercialization expenses, a suspension of programs no longer determined to be core to ongoing operations, and a prioritization on at-home treatment setting opportunities for BXCL501. As part of this strategy, we reduced our workforce in 2023 by approximately 60%.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May and September 2024, we initiated further workforce reductions,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 We completed these additional restructuring actions to further reduce the workforce by 50%, ending the year ended December 31, 2024 with 37 full-time employees.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pStyle w:val="TextBody"/>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addition, we may not realize the benefits of or there may be unanticipated costs associated with our Clinical Reprioritization. As a result of the Clinical Reprioritization, including our strategic refocus, we may not generate material revenues from IGALMI</w:t>
      </w:r>
      <w:r>
        <w:rPr>
          <w:rFonts w:ascii="Times New Roman;Times;serif" w:hAnsi="Times New Roman;Times;serif"/>
          <w:sz w:val="15"/>
        </w:rPr>
        <w:t>®</w:t>
      </w:r>
      <w:r>
        <w:rPr>
          <w:rFonts w:ascii="Times New Roman;Times;serif" w:hAnsi="Times New Roman;Times;serif"/>
          <w:sz w:val="20"/>
        </w:rPr>
        <w:t xml:space="preserve"> in the near term because our commercial force will be significantly reduced. If we are unable to commercialize IGALMI</w:t>
      </w:r>
      <w:r>
        <w:rPr>
          <w:rFonts w:ascii="Times New Roman;Times;serif" w:hAnsi="Times New Roman;Times;serif"/>
          <w:sz w:val="15"/>
        </w:rPr>
        <w:t>®</w:t>
      </w:r>
      <w:r>
        <w:rPr>
          <w:rFonts w:ascii="Times New Roman;Times;serif" w:hAnsi="Times New Roman;Times;serif"/>
          <w:sz w:val="20"/>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because we have limited financial and managerial resources, under our Clinical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Clinical Reprioritization, our efforts to develop and commercialize our product candidates may be delayed or halted and our business could be materially adversely impacted.</w:t>
      </w:r>
    </w:p>
    <w:p>
      <w:pPr>
        <w:pStyle w:val="TextBody"/>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the Discovery and Development of Product Candidates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limited experience in drug discovery and drug development.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concluded that the inspection of a single site in its TRANQUILITY II Phase 3 trial is closed under 21 C.F.R.20.64(d)(3) and released the Establishment Inspection Report. The FDA has designated “Voluntary Action Indicated” for the site, which means objectionable conditions or practices were found without significant public health risks, but the agency is not prepared to take or recommend any administrative or regulatory action.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primary efficacy endpoint in TRANQUILITY II was the change in PEC score, which is a measurement of agitation severity captured by trained raters during an agitation episode. While change in PEC score has been used to support the approval of IGALMI</w:t>
      </w:r>
      <w:r>
        <w:rPr>
          <w:rFonts w:ascii="Times New Roman;Times;serif" w:hAnsi="Times New Roman;Times;serif"/>
          <w:sz w:val="15"/>
        </w:rPr>
        <w:t>®</w:t>
      </w:r>
      <w:r>
        <w:rPr>
          <w:rFonts w:ascii="Times New Roman;Times;serif" w:hAnsi="Times New Roman;Times;serif"/>
          <w:sz w:val="20"/>
        </w:rPr>
        <w:t xml:space="preserve"> for the acute treatment of agitation associated with schizophrenia or bipolar I or II disorder in adults, it has not been used as a primary endpoint to support the approval of a drug candidate for the 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reliability in the measurement of PEC scores and/or may require that we generate additional data to support the reliability of PEC score measurements in our TRANQUILITY II trial. There can be no assurances that any information or data we provide to FDA will sufficiently demonstrate the consistency and reliability of the PEC-score data from our TRANQUILITY II trial, or that our PEC-score data will not represent a potential review issue in connection with any application we may submit to FDA.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have limited clinical data supporting potential safety or efficacy of BXCL501 for use in the at-home setting in the acute treatment of agitation in patients with dementia due to probable Alzheimer’s disease and patients with schizophrenia and bipolar patients.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August 2023, we announced our intention to pursue the Clinical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and we have conducted the SERENITY At-Home Phase 3 trial evaluating the safety of BXCL501 for the acute treatment of agitation associated with bipolar disorders or schizophrenia in the at-home setting, we have not conducted a clinical trial evaluating the at-home use of BXCL501 in the acute treatment of agitation in patients with dementia due to probable Alzheimer’s disease.</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Although we intend to seek additional feedback from the FDA regarding the potential of our ongoing or completed clinical trials to support submission of one or more sNDAs and to support a label for use in the home setting for in patients with dementia due to probable Alzheimer’s disease, it is possible that the FDA may not consider our available data adequate to support such submissions. On January 14, 2026, we submitted a supplemental New Drug Application (sNDA) to the FDA for IGALMI</w:t>
      </w:r>
      <w:r>
        <w:rPr>
          <w:rFonts w:ascii="Times New Roman;Times;serif" w:hAnsi="Times New Roman;Times;serif"/>
          <w:sz w:val="15"/>
        </w:rPr>
        <w:t>®</w:t>
      </w:r>
      <w:r>
        <w:rPr>
          <w:rFonts w:ascii="Times New Roman;Times;serif" w:hAnsi="Times New Roman;Times;serif"/>
          <w:sz w:val="20"/>
        </w:rPr>
        <w:t xml:space="preserve"> for the acute treatment of agitation associated with schizophrenia and bipolar disorders in the at-home setting. This sNDA seeks to expand IGALMI</w:t>
      </w:r>
      <w:r>
        <w:rPr>
          <w:rFonts w:ascii="Times New Roman;Times;serif" w:hAnsi="Times New Roman;Times;serif"/>
          <w:sz w:val="15"/>
        </w:rPr>
        <w:t>®</w:t>
      </w:r>
      <w:r>
        <w:rPr>
          <w:rFonts w:ascii="Times New Roman;Times;serif" w:hAnsi="Times New Roman;Times;serif"/>
          <w:sz w:val="20"/>
        </w:rPr>
        <w:t xml:space="preserve">’s label to include the broader at-home patient population where there are no FDA-approved options currently available. Although we announced on August 18, 2025 that we had received positive pre-sNDA meeting responses from the FDA and believe that the planned sNDA regulatory package will be sufficient to support the sNDA submission, there are no assurance that the FDA will accept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submission and it is possible that the FDA may not consider our available data adequate to support the submission. Further, even if the FDA accepts the sNDA submission, there is no assurance that the FDA will approve our sNDA and authorize an expanded IGALMI</w:t>
      </w:r>
      <w:r>
        <w:rPr>
          <w:rFonts w:ascii="Times New Roman;Times;serif" w:hAnsi="Times New Roman;Times;serif"/>
          <w:sz w:val="15"/>
        </w:rPr>
        <w:t>®</w:t>
      </w:r>
      <w:r>
        <w:rPr>
          <w:rFonts w:ascii="Times New Roman;Times;serif" w:hAnsi="Times New Roman;Times;serif"/>
          <w:sz w:val="20"/>
        </w:rPr>
        <w:t>’s label to include the broader at-home patient population.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a description of recent developments relating to our TRANQUILITY program, please see the prior risk factor, “</w:t>
      </w:r>
      <w:r>
        <w:rPr>
          <w:rFonts w:ascii="Times New Roman;Times;serif" w:hAnsi="Times New Roman;Times;serif"/>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 We cannot provide assurance that we will be able to seek or obtain approval of BXCL501 for treatment of agitation in patients with dementia due to probable Alzheimer’s disease in the at-home setting based on this updated development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but even if our planned clinical efforts are successful and even if we are able to obtain approval of BXCL501 for use in patients with dementia due to probable Alzheimer's disease, we cannot provide assurance that we will be able to seek or obtain approval of BXCL501 for the treatment of agitation in patients with dementia due to probable Alzheimer’s disease in the at-home setting based on this data and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w:t>
      </w:r>
      <w:r>
        <w:rPr>
          <w:rFonts w:ascii="Times New Roman;Times;serif" w:hAnsi="Times New Roman;Times;serif"/>
          <w:i/>
          <w:sz w:val="20"/>
        </w:rPr>
        <w:t>Developments relating to its TRANQUILITY II 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 for additional information. If the FDA does not accept the data from our prior TRANQUILITY II 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Times;serif" w:hAnsi="Times New Roman;Times;serif"/>
          <w:sz w:val="15"/>
        </w:rPr>
        <w:t>®</w:t>
      </w:r>
      <w:r>
        <w:rPr>
          <w:rFonts w:ascii="Times New Roman;Times;serif" w:hAnsi="Times New Roman;Times;serif"/>
          <w:sz w:val="20"/>
        </w:rPr>
        <w:t xml:space="preserve"> 120 micrograms to the acute treatment of agitation associated with schizophrenia and bipolar disorders in the outpatient setting. IGALMI</w:t>
      </w:r>
      <w:r>
        <w:rPr>
          <w:rFonts w:ascii="Times New Roman;Times;serif" w:hAnsi="Times New Roman;Times;serif"/>
          <w:sz w:val="15"/>
        </w:rPr>
        <w:t>®</w:t>
      </w:r>
      <w:r>
        <w:rPr>
          <w:rFonts w:ascii="Times New Roman;Times;serif" w:hAnsi="Times New Roman;Times;serif"/>
          <w:sz w:val="20"/>
        </w:rPr>
        <w:t xml:space="preserve"> is already approved at the 120 mcg dose based on efficacy data that we previously generated in treating a single episode of agitation. Consistent with the data generated to date, the label for IGALMI</w:t>
      </w:r>
      <w:r>
        <w:rPr>
          <w:rFonts w:ascii="Times New Roman;Times;serif" w:hAnsi="Times New Roman;Times;serif"/>
          <w:sz w:val="15"/>
        </w:rPr>
        <w:t>®</w:t>
      </w:r>
      <w:r>
        <w:rPr>
          <w:rFonts w:ascii="Times New Roman;Times;serif" w:hAnsi="Times New Roman;Times;serif"/>
          <w:sz w:val="20"/>
        </w:rPr>
        <w:t xml:space="preserve"> currently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Times;serif" w:hAnsi="Times New Roman;Times;serif"/>
          <w:sz w:val="15"/>
        </w:rPr>
        <w:t>®</w:t>
      </w:r>
      <w:r>
        <w:rPr>
          <w:rFonts w:ascii="Times New Roman;Times;serif" w:hAnsi="Times New Roman;Times;serif"/>
          <w:sz w:val="20"/>
        </w:rPr>
        <w:t xml:space="preserve"> 120 mcg to allow at-home use and labeling without the current LOU. Based on current FDA feedback, we amended the Part 2 of the SERENITY III protocol to evaluate the safety and efficacy of the 120 mg dose in the at-home setting, and now refer to this revised trial as the SERENITY At-Home trial. On August 27, 2025, we announced that the SERENITY At-Home trial evaluating the safety of BXCL501, met its primary endpoint. Additionally, on October 14, 2025, we announced positive results from the correlation study related to exploratory efficacy outcomes from the SERENITY At-Home trial. The results from the correlation study along with that data from this successful study formed the basis of the supplemental New Drug Application (sNDA) submission for label expansion of IGALMI</w:t>
      </w:r>
      <w:r>
        <w:rPr>
          <w:rFonts w:ascii="Times New Roman;Times;serif" w:hAnsi="Times New Roman;Times;serif"/>
          <w:sz w:val="15"/>
        </w:rPr>
        <w:t>®</w:t>
      </w:r>
      <w:r>
        <w:rPr>
          <w:rFonts w:ascii="Times New Roman;Times;serif" w:hAnsi="Times New Roman;Times;serif"/>
          <w:sz w:val="20"/>
        </w:rPr>
        <w:t xml:space="preserve"> in the at-home setting, which was submitted to the FDA on January 14, 2026.</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While we believe that the data from the SERENITY At-home trial supports our planned submission and that we have observed a sufficient number of agitation episodes during the study period to seek labeling without the current LOU and for approval in the at-home setting, there is no guarantee that the FDA will approve our submission and agree to expand of the current label for IGALMI</w:t>
      </w:r>
      <w:r>
        <w:rPr>
          <w:rFonts w:ascii="Times New Roman;Times;serif" w:hAnsi="Times New Roman;Times;serif"/>
          <w:sz w:val="15"/>
        </w:rPr>
        <w:t>®</w:t>
      </w:r>
      <w:r>
        <w:rPr>
          <w:rFonts w:ascii="Times New Roman;Times;serif" w:hAnsi="Times New Roman;Times;serif"/>
          <w:sz w:val="20"/>
        </w:rPr>
        <w:t xml:space="preserve"> 120 mcg to allow at-home use and labeling without the current LOU.</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sNDAs submission and any future sNDAs seeking approvals for BXCL501 for our targeted patient populations in at-home settings would increase our costs, and in either case, such modifications or requirements could have a material adverse effect on our prospects and results of operations.</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In the near term, we are dependent on the success of IGALMI</w:t>
      </w:r>
      <w:r>
        <w:rPr>
          <w:rFonts w:ascii="Times New Roman;Times;serif" w:hAnsi="Times New Roman;Times;serif"/>
          <w:b/>
          <w:i/>
          <w:sz w:val="15"/>
        </w:rPr>
        <w:t>®</w:t>
      </w:r>
      <w:r>
        <w:rPr>
          <w:rFonts w:ascii="Times New Roman;Times;serif" w:hAnsi="Times New Roman;Times;serif"/>
          <w:b/>
          <w:i/>
          <w:sz w:val="20"/>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Times;serif" w:hAnsi="Times New Roman;Times;serif"/>
          <w:b/>
          <w:i/>
          <w:sz w:val="15"/>
        </w:rPr>
        <w:t>®</w:t>
      </w:r>
      <w:r>
        <w:rPr>
          <w:rFonts w:ascii="Times New Roman;Times;serif" w:hAnsi="Times New Roman;Times;serif"/>
          <w:b/>
          <w:i/>
          <w:sz w:val="20"/>
        </w:rPr>
        <w:t xml:space="preserve"> and our other product candidates, either alone or with a collaborator, or if we experience significant delays in doing so, our business could be substantially harmed.</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Times;serif" w:hAnsi="Times New Roman;Times;serif"/>
          <w:sz w:val="15"/>
        </w:rPr>
        <w:t>®</w:t>
      </w:r>
      <w:r>
        <w:rPr>
          <w:rFonts w:ascii="Times New Roman;Times;serif" w:hAnsi="Times New Roman;Times;serif"/>
          <w:sz w:val="20"/>
        </w:rPr>
        <w:t xml:space="preserve"> and development of our four product candidates, BXCL501, BXCL502, BXCL701 and BXCL702, as well as other product candidates. In connection with the Clinical Reprioritization, we have significantly reduced the resources devoted to commercialization of IGALMI</w:t>
      </w:r>
      <w:r>
        <w:rPr>
          <w:rFonts w:ascii="Times New Roman;Times;serif" w:hAnsi="Times New Roman;Times;serif"/>
          <w:sz w:val="15"/>
        </w:rPr>
        <w:t>®</w:t>
      </w:r>
      <w:r>
        <w:rPr>
          <w:rFonts w:ascii="Times New Roman;Times;serif" w:hAnsi="Times New Roman;Times;serif"/>
          <w:sz w:val="20"/>
        </w:rPr>
        <w:t xml:space="preserve"> and it is possible that will have adverse consequences on the revenue that we are able to generate from IGALMI</w:t>
      </w:r>
      <w:r>
        <w:rPr>
          <w:rFonts w:ascii="Times New Roman;Times;serif" w:hAnsi="Times New Roman;Times;serif"/>
          <w:sz w:val="15"/>
        </w:rPr>
        <w:t>®</w:t>
      </w:r>
      <w:r>
        <w:rPr>
          <w:rFonts w:ascii="Times New Roman;Times;serif" w:hAnsi="Times New Roman;Times;serif"/>
          <w:sz w:val="20"/>
        </w:rPr>
        <w:t xml:space="preserve"> in the near term. As part of the Company’s Clinical Reprioritization, the IGALMI</w:t>
      </w:r>
      <w:r>
        <w:rPr>
          <w:rFonts w:ascii="Times New Roman;Times;serif" w:hAnsi="Times New Roman;Times;serif"/>
          <w:sz w:val="15"/>
        </w:rPr>
        <w:t>®</w:t>
      </w:r>
      <w:r>
        <w:rPr>
          <w:rFonts w:ascii="Times New Roman;Times;serif" w:hAnsi="Times New Roman;Times;serif"/>
          <w:sz w:val="20"/>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In January 2026, Mark Pavao joined the Company as Interim Chief Commercial Officer to support the potential launch of IGALMI</w:t>
      </w:r>
      <w:r>
        <w:rPr>
          <w:rFonts w:ascii="Times New Roman;Times;serif" w:hAnsi="Times New Roman;Times;serif"/>
          <w:sz w:val="15"/>
        </w:rPr>
        <w:t>®</w:t>
      </w:r>
      <w:r>
        <w:rPr>
          <w:rFonts w:ascii="Times New Roman;Times;serif" w:hAnsi="Times New Roman;Times;serif"/>
          <w:sz w:val="20"/>
        </w:rPr>
        <w:t xml:space="preserve"> in the at-home setting, pending FDA approval of our sNDA submission. While this appointment strengthens our commercial readiness, we continue to have limited experience in marketing and selling drug products and may need to further expand our commercial team to successfully launch IGALMI for the at-home indication if approved.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success of IGALMI</w:t>
      </w:r>
      <w:r>
        <w:rPr>
          <w:rFonts w:ascii="Times New Roman;Times;serif" w:hAnsi="Times New Roman;Times;serif"/>
          <w:sz w:val="15"/>
        </w:rPr>
        <w:t>®</w:t>
      </w:r>
      <w:r>
        <w:rPr>
          <w:rFonts w:ascii="Times New Roman;Times;serif" w:hAnsi="Times New Roman;Times;serif"/>
          <w:sz w:val="20"/>
        </w:rPr>
        <w:t>, and of BXCL501, BXCL701, BXCL502 and our other product candidates will depend on several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an investigational new drug application (“IND”) by the FDA or acceptance of comparable applications by foreign regulatory authorities allowing us to conduct clinical trials of our product candidates in the U.S. or in foreign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of safety and efficacy of our product candidates to the satisfaction of the FDA, or any comparable foreign regulatory authority, and sufficient for marketing approval;</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performance of our current and future collaborators;</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any required post-marketing clinical trials or other commitments to applicable regulatory authorities;</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supply arrangements with third-party raw materials suppliers and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arrangements with third-party manufacturers to obtain finished drug product that is appropriately packaged for sale;</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ongoing availability of raw materials and drug product for clinical development and any commercial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trade secret protection and regulatory exclusivity, both in the U.S. and internationally;</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rights in our intellectual property portfolio;</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launch of commercial sales following any marketing approval;</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continued acceptable safety profile following any marketing approval;</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acceptance by patients, the medical community and third-party payors;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other therapies.</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Times;serif" w:hAnsi="Times New Roman;Times;serif"/>
          <w:sz w:val="15"/>
        </w:rPr>
        <w:t>®</w:t>
      </w:r>
      <w:r>
        <w:rPr>
          <w:rFonts w:ascii="Times New Roman;Times;serif" w:hAnsi="Times New Roman;Times;serif"/>
          <w:sz w:val="20"/>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current product candidates, or any that may be developed in the future, could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product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product candidates may not be sufficient to support the submission of an NDA or other submission or to obtain regulatory approval in the U.S.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that our changes to branded reference drugs meet the criteria for the 505(b)(2) regulatory pathway or comparable foreign regulatory pathways;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the manufacturing processes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have only submitted one NDA to the FDA and have not submitted any similar marketing applications to comparable foreign authorities, for any product candidate. On January 14, 2026 we submitted a sNDA for label expansion of IGALMI</w:t>
      </w:r>
      <w:r>
        <w:rPr>
          <w:rFonts w:ascii="Times New Roman;Times;serif" w:hAnsi="Times New Roman;Times;serif"/>
          <w:sz w:val="15"/>
        </w:rPr>
        <w:t>®</w:t>
      </w:r>
      <w:r>
        <w:rPr>
          <w:rFonts w:ascii="Times New Roman;Times;serif" w:hAnsi="Times New Roman;Times;serif"/>
          <w:sz w:val="20"/>
        </w:rPr>
        <w:t> in the at-home setting based on the data from the successful SERENITY At-Home trial, we cannot be certain that our submission will be approved, or that our other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Times;serif" w:hAnsi="Times New Roman;Times;serif"/>
          <w:sz w:val="15"/>
        </w:rPr>
        <w:t>®</w:t>
      </w:r>
      <w:r>
        <w:rPr>
          <w:rFonts w:ascii="Times New Roman;Times;serif" w:hAnsi="Times New Roman;Times;serif"/>
          <w:sz w:val="20"/>
        </w:rPr>
        <w:t xml:space="preserve"> or our other product candidates are not as significant as we estimate, we may not generate significant revenues from sales of IGALMI</w:t>
      </w:r>
      <w:r>
        <w:rPr>
          <w:rFonts w:ascii="Times New Roman;Times;serif" w:hAnsi="Times New Roman;Times;serif"/>
          <w:sz w:val="15"/>
        </w:rPr>
        <w:t>®</w:t>
      </w:r>
      <w:r>
        <w:rPr>
          <w:rFonts w:ascii="Times New Roman;Times;serif" w:hAnsi="Times New Roman;Times;serif"/>
          <w:sz w:val="20"/>
        </w:rPr>
        <w:t xml:space="preserve"> or such other product candidates, if approved.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The CTR transition period ended on January 31, 2025, and all clinical trials (and related applications) are now fully subject to the provisions of the CTR.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be impacted.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Clinical trials are expensive, time-consuming, difficult to design, difficult to conduct, and involve an uncertain outcome.</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We have completed the SERENITY At-Home trial evaluating the safety of BXCL501 and, on January 14, 2026, submitted an sNDA for label expansion of IGALMI</w:t>
      </w:r>
      <w:r>
        <w:rPr>
          <w:rFonts w:ascii="Times New Roman;Times;serif" w:hAnsi="Times New Roman;Times;serif"/>
          <w:sz w:val="15"/>
        </w:rPr>
        <w:t>®</w:t>
      </w:r>
      <w:r>
        <w:rPr>
          <w:rFonts w:ascii="Times New Roman;Times;serif" w:hAnsi="Times New Roman;Times;serif"/>
          <w:sz w:val="20"/>
        </w:rPr>
        <w:t> in the at-home setting based on the data from the successful SERENITY At-Home trial and are planning for certain clinical trials relating to BXCL501, BXCL701, BXCL502 and our other product candidates, there can be no assurance that the FDA, or other comparable foreign regulatory authorities, will accept our submission or proposed trial designs as sufficient to establish the safety and/or efficacy of our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disagreeing as to the design or implementation of our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allowances or authorizations to commence a trial or consensus with regulatory authorities on trial designs;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terms with prospective contract research organizations (“CROs”) and clinical trial sites, the terms of which can be subject to extensive negotiation and may vary significantly among different CROs and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institutional review board approval at each site, or independent ethics committee approval at any sites outside the U.S.;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the needs and timing of third-party collaborators;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clinical trial protocols;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 in a timely manner and in sufficient numbers;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deviating from trial protocol or dropping out of a trial;</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patient safety concerns that arise during the course of a trial;</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post-treatment follow-up;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a clinical hold by regulatory authorities, including as a result of unforeseen safety issues or side effects or failure of trial sites to adhere to regulatory requirements;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SAEs in trials of the same class of agents conducted by other companies or institutions;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choosing an alternative treatment for the indications for which we are developing our product candidates, or participating in competing trials;</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 sufficient number of clinical trial sites;</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a product candidate for use in clinical trials;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initiate or continue clinical trials;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selection of clinical end points that require prolonged periods of clinical observation or analysis of the resulting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manufacturing process that may be necessary or desired;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clinical investigators losing the licenses or permits necessary to perform our clinical trials, not performing our clinical trials on our anticipated schedule or consistent with the clinical trial protocol, GCPs or other regulatory requirements;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Times;serif" w:hAnsi="Times New Roman;Times;serif"/>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depend on enrollment and evaluation of patients in our clinical trials to continue development of our product candidates. If we are unable to enroll patients in our clinical trials, our research and development efforts could be adversely affected.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and evaluate a sufficient number of patients who remain in the study until its conclusion. We may experience difficulties in patient enrollment or evaluation in our clinical trials for a variety of reasons. Patient enrollment and evaluation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evaluation or completion, the frequency of acute agitation symptoms in enrolled patients, the opportunity for evaluation of patients enrolled in our trials,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Additionally, if we or others later identify undesirable side effects caused by IGALMI</w:t>
      </w:r>
      <w:r>
        <w:rPr>
          <w:rFonts w:ascii="Times New Roman;Times;serif" w:hAnsi="Times New Roman;Times;serif"/>
          <w:sz w:val="15"/>
        </w:rPr>
        <w:t>®</w:t>
      </w:r>
      <w:r>
        <w:rPr>
          <w:rFonts w:ascii="Times New Roman;Times;serif" w:hAnsi="Times New Roman;Times;serif"/>
          <w:sz w:val="20"/>
        </w:rPr>
        <w:t xml:space="preserve"> or any other product candidate that receives marketing approval, a number of potentially significant negative consequences could result, including:</w:t>
      </w:r>
    </w:p>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products;</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recall a product or change the way such a product is administered to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or distribution of the particular product or the manufacturing processes for the product or any component thereof;</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such as a “black box” warning or contraindication;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implement Risk Evaluation and Mitigation Strategies (“REMS”) or create a medication guide outlining the risks of such side effects for distribution to patients, or similar risk management measures;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may become less competitive;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particular product or product candidate, if approved, and could significantly harm our business,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drug discovery and development efforts depend on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Times;serif" w:hAnsi="Times New Roman;Times;serif"/>
          <w:sz w:val="15"/>
        </w:rPr>
        <w:t>®</w:t>
      </w:r>
      <w:r>
        <w:rPr>
          <w:rFonts w:ascii="Times New Roman;Times;serif" w:hAnsi="Times New Roman;Times;serif"/>
          <w:sz w:val="20"/>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Artificial intelligence presents risks and challenges that can impact our business including by posing security risks to our confidential information, proprietary information, and personal data.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Company’s AI platform and BioXcel LLC’s EvolverAI may fail to help us discover and develop additional potential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drug discovery that we conduct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compounds found through the Company’s AI platform and BioXcel LLC’s EvolverAI may not demonstrate efficacy, safety or tolerability;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on further study, be shown to have harmful side effects or other characteristics that indicate that they are unlikely to receive marketing approval and achieve market acceptance;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develop alternative therapies that render our potential product candidates non-competitive or less attractive; or</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product candidate may not be capable of being produced at an acceptable cost.</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future success in novel drug discovery and drug development projects depends on our ability to continue to develop and implement our proprietary AI algorithms and models, and to maintain the confidentiality of this technology. In addition to the current pause in further developing our AI platform,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designated as Breakthrough Therapies by the FDA also receive the benefits associated with Fast Track designation, including the potential for rolling review of an NDA.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Times;serif" w:hAnsi="Times New Roman;Times;serif"/>
          <w:sz w:val="20"/>
        </w:rPr>
        <w:t xml:space="preserv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Although the FDA has approved IGALMI</w:t>
      </w:r>
      <w:r>
        <w:rPr>
          <w:rFonts w:ascii="Times New Roman;Times;serif" w:hAnsi="Times New Roman;Times;serif"/>
          <w:b/>
          <w:i/>
          <w:sz w:val="15"/>
        </w:rPr>
        <w:t>®</w:t>
      </w:r>
      <w:r>
        <w:rPr>
          <w:rFonts w:ascii="Times New Roman;Times;serif" w:hAnsi="Times New Roman;Times;serif"/>
          <w:b/>
          <w:i/>
          <w:sz w:val="20"/>
        </w:rPr>
        <w:t xml:space="preserve"> for the acute treatment of agitation associated with schizophrenia or bipolar I or II disorder, we will still face extensive and ongoing regulatory requirements and obligations for IGALMI</w:t>
      </w:r>
      <w:r>
        <w:rPr>
          <w:rFonts w:ascii="Times New Roman;Times;serif" w:hAnsi="Times New Roman;Times;serif"/>
          <w:b/>
          <w:i/>
          <w:sz w:val="15"/>
        </w:rPr>
        <w:t>®</w:t>
      </w:r>
      <w:r>
        <w:rPr>
          <w:rFonts w:ascii="Times New Roman;Times;serif" w:hAnsi="Times New Roman;Times;serif"/>
          <w:b/>
          <w:i/>
          <w:sz w:val="20"/>
        </w:rPr>
        <w:t xml:space="preserve"> and for any product candidates for which we obtain approval.</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Any regulatory approvals that we may receive for IGALMI</w:t>
      </w:r>
      <w:r>
        <w:rPr>
          <w:rFonts w:ascii="Times New Roman;Times;serif" w:hAnsi="Times New Roman;Times;serif"/>
          <w:sz w:val="15"/>
        </w:rPr>
        <w:t>®</w:t>
      </w:r>
      <w:r>
        <w:rPr>
          <w:rFonts w:ascii="Times New Roman;Times;serif" w:hAnsi="Times New Roman;Times;serif"/>
          <w:sz w:val="20"/>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Times;serif" w:hAnsi="Times New Roman;Times;serif"/>
          <w:sz w:val="15"/>
        </w:rPr>
        <w:t>®</w:t>
      </w:r>
      <w:r>
        <w:rPr>
          <w:rFonts w:ascii="Times New Roman;Times;serif" w:hAnsi="Times New Roman;Times;serif"/>
          <w:sz w:val="20"/>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or additional elements to ensure safe use, such as restricted distribution methods, patient registries and other risk minimization tools.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In addition, the manufacturing processes, labeling, packaging, distribution, AE reporting, storage, advertising, promotion, import, export and recordkeeping for IGALMI</w:t>
      </w:r>
      <w:r>
        <w:rPr>
          <w:rFonts w:ascii="Times New Roman;Times;serif" w:hAnsi="Times New Roman;Times;serif"/>
          <w:sz w:val="15"/>
        </w:rPr>
        <w:t>®</w:t>
      </w:r>
      <w:r>
        <w:rPr>
          <w:rFonts w:ascii="Times New Roman;Times;serif" w:hAnsi="Times New Roman;Times;serif"/>
          <w:sz w:val="20"/>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discovery of previously unknown AEs or other problems with our products, manufacturers or manufacturing processes or failure to comply with regulatory requirements, may yield various results, including:</w:t>
      </w:r>
    </w:p>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manufacturing such products;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products;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product manufacturing, distribution or use;</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products from the market;</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bl>
    <w:tbl>
      <w:tblPr>
        <w:tblW w:w="2001" w:type="dxa"/>
        <w:jc w:val="left"/>
        <w:tblInd w:w="0" w:type="dxa"/>
        <w:tblLayout w:type="fixed"/>
        <w:tblCellMar>
          <w:top w:w="28" w:type="dxa"/>
          <w:left w:w="28" w:type="dxa"/>
          <w:bottom w:w="28" w:type="dxa"/>
          <w:right w:w="28" w:type="dxa"/>
        </w:tblCellMar>
      </w:tblPr>
      <w:tblGrid>
        <w:gridCol w:w="124"/>
        <w:gridCol w:w="25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products;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our products;</w:t>
            </w:r>
          </w:p>
        </w:tc>
      </w:tr>
    </w:tbl>
    <w:tbl>
      <w:tblPr>
        <w:tblW w:w="2046" w:type="dxa"/>
        <w:jc w:val="left"/>
        <w:tblInd w:w="0" w:type="dxa"/>
        <w:tblLayout w:type="fixed"/>
        <w:tblCellMar>
          <w:top w:w="28" w:type="dxa"/>
          <w:left w:w="28" w:type="dxa"/>
          <w:bottom w:w="28" w:type="dxa"/>
          <w:right w:w="28" w:type="dxa"/>
        </w:tblCellMar>
      </w:tblPr>
      <w:tblGrid>
        <w:gridCol w:w="124"/>
        <w:gridCol w:w="256"/>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FDA and other regulatory agencies actively enforce the laws and regulations prohibiting the promotion of off-label uses.</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Times;serif" w:hAnsi="Times New Roman;Times;serif"/>
          <w:sz w:val="15"/>
        </w:rPr>
        <w:t>®</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is currently limited to the acute treatment of agitation associated with schizophrenia or bipolar I or II disorder in adults to be self-administrated by patients under the supervision of a health care provider. </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Times;serif" w:hAnsi="Times New Roman;Times;serif"/>
          <w:sz w:val="15"/>
        </w:rPr>
        <w:t>®</w:t>
      </w:r>
      <w:r>
        <w:rPr>
          <w:rFonts w:ascii="Times New Roman;Times;serif" w:hAnsi="Times New Roman;Times;serif"/>
          <w:sz w:val="20"/>
        </w:rPr>
        <w:t>, have been approved for uses beyond those authorized in IGALMI</w:t>
      </w:r>
      <w:r>
        <w:rPr>
          <w:rFonts w:ascii="Times New Roman;Times;serif" w:hAnsi="Times New Roman;Times;serif"/>
          <w:sz w:val="15"/>
        </w:rPr>
        <w:t>®</w:t>
      </w:r>
      <w:r>
        <w:rPr>
          <w:rFonts w:ascii="Times New Roman;Times;serif" w:hAnsi="Times New Roman;Times;serif"/>
          <w:sz w:val="20"/>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Times New Roman;Times;serif" w:hAnsi="Times New Roman;Times;serif"/>
          <w:sz w:val="15"/>
        </w:rPr>
        <w:t>®</w:t>
      </w:r>
      <w:r>
        <w:rPr>
          <w:rFonts w:ascii="Times New Roman;Times;serif" w:hAnsi="Times New Roman;Times;serif"/>
          <w:sz w:val="20"/>
        </w:rPr>
        <w:t xml:space="preserve"> for these uses.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Times;serif" w:hAnsi="Times New Roman;Times;serif"/>
          <w:sz w:val="15"/>
        </w:rPr>
        <w:t>®</w:t>
      </w:r>
      <w:r>
        <w:rPr>
          <w:rFonts w:ascii="Times New Roman;Times;serif" w:hAnsi="Times New Roman;Times;serif"/>
          <w:sz w:val="20"/>
        </w:rPr>
        <w:t xml:space="preserve"> or our product candidates, if approved, we could become subject to significant liability, which would materially adversely affect our business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Disruptions at the FDA and other government agencies caused by funding shortages or staffing reductions could prevent new or modified products from being developed, approved or commercialized in a timely manner or at all, which could negatively impact our business.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April 2025, the Trump administration conducted unprecedented layoffs at several U.S. health agencies, including the FDA, the Department of Health and Human Services, the Centers for Disease Control and Prevention and the National Institutes of Health, which is expected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 For example, in the fourth quarter of 2025, the U.S. government was on shutdown for a meaningful period of time and has previously shut down several times, and certain regulatory agencies, such as the FDA, had to furlough critical employees and stop critical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To the extent the FDA’s normal operations are disrupted or delayed for a prolonged period of time, for example due to government shutdowns, travel restrictions, public health or geopolitical issues, staffing shortages, layoffs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conduct certain of or portions of our clinical trials for our product candidates outside of the U.S. and the FDA may not accept data from such trials, in which case our development plans will be delayed, which could materially harm our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may choose to conduct one or more of our clinical trials or a portion of our clinical trials for our product candidates outside the U.S. The acceptance of study data from clinical trials conducted outside the U.S. or another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Changes in U.S. trade policy and the impact of tariffs may have a material adverse effect on our business, results of operations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business, results of operations and financial condition may be adversely affected by uncertainty and changes in U.S. trade policies, including tariffs, quotas, trade agreements or other trade restrictions imposed by the U.S. or other governments. For example, in April 2025, the U.S. government announced a 10% tariff on product imports from almost all countries and individualized higher tariffs on certain other countries. On October 10, 2025, the U.S. Government announced a 100% tariff on all product imports from China, bringing the total China tariff rate to 130% tariff effective November 1, 2025. While several tariff announcements have been followed by announcements of limited exemptions and temporary pauses, in February 2026, the U.S. Supreme Court issued a ruling striking down certain tariffs previously imposed under the International Emergency Economic Powers Act (“IEEPA”). Following the Supreme Court’s decision, the U.S. presidential administration announced its intention to invoke other laws to collect tariffs and announced new tariffs on imports from all countries, in addition to any existing non-IEEPA tariffs. These actions have caused substantial uncertainty and volatility in financial markets and may result in retaliatory measures on U.S. goods.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business requires access to materials to manufacture our products, some of which we source from suppliers located outside the United States. Any imposition of or increase in tariffs or other restrictions on imports of materials on which our products rely,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financial position. Also, disruptions and volatility in the financial markets may lead to adverse changes in the availability, terms and cost of capital. Such adverse changes could increase our costs of capital and limit our access to external financing sources</w:t>
      </w:r>
      <w:r>
        <w:rPr>
          <w:rFonts w:ascii="Times New Roman;Times;serif" w:hAnsi="Times New Roman;Times;serif"/>
          <w:b/>
          <w:i/>
          <w:sz w:val="20"/>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subject to extensive regulations outside the U.S. and may not obtain marketing approvals for products in Europe and other jurisdictions.</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In addition to regulations in the U.S., should we or our collaborators pursue marketing approvals for IGALMI</w:t>
      </w:r>
      <w:r>
        <w:rPr>
          <w:rFonts w:ascii="Times New Roman;Times;serif" w:hAnsi="Times New Roman;Times;serif"/>
          <w:sz w:val="15"/>
        </w:rPr>
        <w:t>®</w:t>
      </w:r>
      <w:r>
        <w:rPr>
          <w:rFonts w:ascii="Times New Roman;Times;serif" w:hAnsi="Times New Roman;Times;serif"/>
          <w:sz w:val="20"/>
        </w:rPr>
        <w:t xml:space="preserve">,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commencement of clinical trials or marketing of the product in those countries. The requirements and process governing the conduct of clinical trials, product licensing, pricing and reimbursement vary from country to country.</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expect to pursue marketing approvals for IGALMI</w:t>
      </w:r>
      <w:r>
        <w:rPr>
          <w:rFonts w:ascii="Times New Roman;Times;serif" w:hAnsi="Times New Roman;Times;serif"/>
          <w:sz w:val="15"/>
        </w:rPr>
        <w:t>®</w:t>
      </w:r>
      <w:r>
        <w:rPr>
          <w:rFonts w:ascii="Times New Roman;Times;serif" w:hAnsi="Times New Roman;Times;serif"/>
          <w:sz w:val="20"/>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consumer protection and unfair competition laws, which broadly regulate marketplace activities and activities that potentially harm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drug manufacturers to report information related to payments and other transfers of value to physicians and other health care providers or marketing expenditures and pricing information;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and other foreign law equivalents of each of the laws, including reporting requirements detailing interactions with and payments to health care providers.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unable to maintain sufficient clinical trial liability insurance.</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Times;serif" w:hAnsi="Times New Roman;Times;serif"/>
          <w:sz w:val="15"/>
        </w:rPr>
        <w:t>®</w:t>
      </w:r>
      <w:r>
        <w:rPr>
          <w:rFonts w:ascii="Times New Roman;Times;serif" w:hAnsi="Times New Roman;Times;serif"/>
          <w:sz w:val="20"/>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Our Product Candidates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our products do not gain market acceptance or if we fail to accurately forecast demand or manage our inventories, our business will suffer because we might not be able to fund future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number of factors may affect the market acceptance of our products or any other products or product candidates we develop or acquire, including, among others:</w:t>
      </w:r>
    </w:p>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products relative to other products for the same or similar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by patients, physicians and other members of the health care community of the effectiveness, utility and safety of our products for their indicated applications and treatments;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our sales and marketing efforts;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sales and marketing efforts, including our strategic refocus to hospital/IDNs as part of the Clinical Reprioritization.</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We plan to continue to commercialize IGALMI</w:t>
      </w:r>
      <w:r>
        <w:rPr>
          <w:rFonts w:ascii="Times New Roman;Times;serif" w:hAnsi="Times New Roman;Times;serif"/>
          <w:sz w:val="15"/>
        </w:rPr>
        <w:t>®</w:t>
      </w:r>
      <w:r>
        <w:rPr>
          <w:rFonts w:ascii="Times New Roman;Times;serif" w:hAnsi="Times New Roman;Times;serif"/>
          <w:sz w:val="20"/>
        </w:rPr>
        <w:t xml:space="preserve"> sublingual film for the acute treatment of agitation associated with schizophrenia or bipolar I or II disorder, to be self-administered by patients under the supervision of a healthcare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 xml:space="preserve">provider, which is our only approved product to date. However, in connection with the Clinical Reprioritization, we significantly reduced the resources devoted to commercialization of IGALMI </w:t>
      </w:r>
      <w:r>
        <w:rPr>
          <w:rFonts w:ascii="Times New Roman;Times;serif" w:hAnsi="Times New Roman;Times;serif"/>
          <w:sz w:val="15"/>
        </w:rPr>
        <w:t>®</w:t>
      </w:r>
      <w:r>
        <w:rPr>
          <w:rFonts w:ascii="Times New Roman;Times;serif" w:hAnsi="Times New Roman;Times;serif"/>
          <w:sz w:val="20"/>
        </w:rPr>
        <w:t xml:space="preserve"> and it is possible that will have adverse consequences on the revenue that we are able to generate from IGALMI</w:t>
      </w:r>
      <w:r>
        <w:rPr>
          <w:rFonts w:ascii="Times New Roman;Times;serif" w:hAnsi="Times New Roman;Times;serif"/>
          <w:sz w:val="15"/>
        </w:rPr>
        <w:t>®</w:t>
      </w:r>
      <w:r>
        <w:rPr>
          <w:rFonts w:ascii="Times New Roman;Times;serif" w:hAnsi="Times New Roman;Times;serif"/>
          <w:sz w:val="20"/>
        </w:rPr>
        <w:t>. Revenues for IGALMI</w:t>
      </w:r>
      <w:r>
        <w:rPr>
          <w:rFonts w:ascii="Times New Roman;Times;serif" w:hAnsi="Times New Roman;Times;serif"/>
          <w:sz w:val="15"/>
        </w:rPr>
        <w:t>®</w:t>
      </w:r>
      <w:r>
        <w:rPr>
          <w:rFonts w:ascii="Times New Roman;Times;serif" w:hAnsi="Times New Roman;Times;serif"/>
          <w:sz w:val="20"/>
        </w:rPr>
        <w:t xml:space="preserve"> for the year ended December 31, 2025 were $0.6 million.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w:t>
      </w:r>
      <w:r>
        <w:rPr>
          <w:rFonts w:ascii="Times New Roman;Times;serif" w:hAnsi="Times New Roman;Times;serif"/>
          <w:sz w:val="15"/>
        </w:rPr>
        <w:t>®</w:t>
      </w:r>
      <w:r>
        <w:rPr>
          <w:rFonts w:ascii="Times New Roman;Times;serif" w:hAnsi="Times New Roman;Times;serif"/>
          <w:sz w:val="20"/>
        </w:rPr>
        <w:t xml:space="preserve"> for any currently or additionally approved indications or any future product candidates that we may have approved.</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results of operations could be materially harmed if we are unable to accurately forecast customer demand for IGALMI</w:t>
      </w:r>
      <w:r>
        <w:rPr>
          <w:rFonts w:ascii="Times New Roman;Times;serif" w:hAnsi="Times New Roman;Times;serif"/>
          <w:sz w:val="15"/>
        </w:rPr>
        <w:t>®</w:t>
      </w:r>
      <w:r>
        <w:rPr>
          <w:rFonts w:ascii="Times New Roman;Times;serif" w:hAnsi="Times New Roman;Times;serif"/>
          <w:sz w:val="20"/>
        </w:rPr>
        <w:t xml:space="preserve"> and manage our inventory. To ensure adequate inventory supply, we must forecast inventory needs and place orders with our suppliers based on our estimates of future demand for IGALMI</w:t>
      </w:r>
      <w:r>
        <w:rPr>
          <w:rFonts w:ascii="Times New Roman;Times;serif" w:hAnsi="Times New Roman;Times;serif"/>
          <w:sz w:val="15"/>
        </w:rPr>
        <w:t>®</w:t>
      </w:r>
      <w:r>
        <w:rPr>
          <w:rFonts w:ascii="Times New Roman;Times;serif" w:hAnsi="Times New Roman;Times;serif"/>
          <w:sz w:val="20"/>
        </w:rPr>
        <w:t>. Our ability to accurately forecast demand for IGALMI</w:t>
      </w:r>
      <w:r>
        <w:rPr>
          <w:rFonts w:ascii="Times New Roman;Times;serif" w:hAnsi="Times New Roman;Times;serif"/>
          <w:sz w:val="15"/>
        </w:rPr>
        <w:t>®</w:t>
      </w:r>
      <w:r>
        <w:rPr>
          <w:rFonts w:ascii="Times New Roman;Times;serif" w:hAnsi="Times New Roman;Times;serif"/>
          <w:sz w:val="20"/>
        </w:rPr>
        <w:t xml:space="preserve"> could be negatively affected by many factors, including our failure to accurately manage our expansion strategy, product introductions by competitors, an increase or decrease in customer demand for IGALMI</w:t>
      </w:r>
      <w:r>
        <w:rPr>
          <w:rFonts w:ascii="Times New Roman;Times;serif" w:hAnsi="Times New Roman;Times;serif"/>
          <w:sz w:val="15"/>
        </w:rPr>
        <w:t>®</w:t>
      </w:r>
      <w:r>
        <w:rPr>
          <w:rFonts w:ascii="Times New Roman;Times;serif" w:hAnsi="Times New Roman;Times;serif"/>
          <w:sz w:val="20"/>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Times;serif" w:hAnsi="Times New Roman;Times;serif"/>
          <w:sz w:val="15"/>
        </w:rPr>
        <w:t>®</w:t>
      </w:r>
      <w:r>
        <w:rPr>
          <w:rFonts w:ascii="Times New Roman;Times;serif" w:hAnsi="Times New Roman;Times;serif"/>
          <w:sz w:val="20"/>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Times;serif" w:hAnsi="Times New Roman;Times;serif"/>
          <w:sz w:val="15"/>
        </w:rPr>
        <w:t>®</w:t>
      </w:r>
      <w:r>
        <w:rPr>
          <w:rFonts w:ascii="Times New Roman;Times;serif" w:hAnsi="Times New Roman;Times;serif"/>
          <w:sz w:val="20"/>
        </w:rPr>
        <w:t xml:space="preserve"> and our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pStyle w:val="TextBody"/>
        <w:bidi w:val="0"/>
        <w:spacing w:before="280" w:after="0"/>
        <w:ind w:left="0" w:right="0" w:hanging="0"/>
        <w:jc w:val="both"/>
        <w:rPr>
          <w:rFonts w:ascii="Times New Roman;Times;serif" w:hAnsi="Times New Roman;Times;serif"/>
          <w:b/>
          <w:i/>
          <w:sz w:val="20"/>
        </w:rPr>
      </w:pPr>
      <w:r>
        <w:rPr>
          <w:rFonts w:ascii="Times New Roman;Times;serif" w:hAnsi="Times New Roman;Times;serif"/>
          <w:b/>
          <w:i/>
          <w:sz w:val="20"/>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 xml:space="preserve">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 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If we are unable to develop satisfactory sales and marketing capabilities, we may not succeed in commercializing IGALMI</w:t>
      </w:r>
      <w:r>
        <w:rPr>
          <w:rFonts w:ascii="Times New Roman;Times;serif" w:hAnsi="Times New Roman;Times;serif"/>
          <w:b/>
          <w:i/>
          <w:sz w:val="15"/>
        </w:rPr>
        <w:t>®</w:t>
      </w:r>
      <w:r>
        <w:rPr>
          <w:rFonts w:ascii="Times New Roman;Times;serif" w:hAnsi="Times New Roman;Times;serif"/>
          <w:b/>
          <w:i/>
          <w:sz w:val="20"/>
        </w:rPr>
        <w:t xml:space="preserve"> or any product candidate for which we may obtain regulatory approval.</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have limited experience in marketing and selling drug products. We have not entered into arrangements for the sale and marketing of IGALMI</w:t>
      </w:r>
      <w:r>
        <w:rPr>
          <w:rFonts w:ascii="Times New Roman;Times;serif" w:hAnsi="Times New Roman;Times;serif"/>
          <w:sz w:val="15"/>
        </w:rPr>
        <w:t>®</w:t>
      </w:r>
      <w:r>
        <w:rPr>
          <w:rFonts w:ascii="Times New Roman;Times;serif" w:hAnsi="Times New Roman;Times;serif"/>
          <w:sz w:val="20"/>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Clinical Reprioritization, we may need to rebuild a commercial sales and marketing team if we seek to modify our commercial strategy for IGALMI</w:t>
      </w:r>
      <w:r>
        <w:rPr>
          <w:rFonts w:ascii="Times New Roman;Times;serif" w:hAnsi="Times New Roman;Times;serif"/>
          <w:sz w:val="15"/>
        </w:rPr>
        <w:t>®</w:t>
      </w:r>
      <w:r>
        <w:rPr>
          <w:rFonts w:ascii="Times New Roman;Times;serif" w:hAnsi="Times New Roman;Times;serif"/>
          <w:sz w:val="20"/>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Clinical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operate in a highly competitive and rapidly changing industry.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Although we obtained FDA approval for IGALMI</w:t>
      </w:r>
      <w:r>
        <w:rPr>
          <w:rFonts w:ascii="Times New Roman;Times;serif" w:hAnsi="Times New Roman;Times;serif"/>
          <w:b/>
          <w:i/>
          <w:sz w:val="15"/>
        </w:rPr>
        <w:t>®</w:t>
      </w:r>
      <w:r>
        <w:rPr>
          <w:rFonts w:ascii="Times New Roman;Times;serif" w:hAnsi="Times New Roman;Times;serif"/>
          <w:b/>
          <w:i/>
          <w:sz w:val="20"/>
        </w:rPr>
        <w:t>, our products and product candidates may not be accepted by physicians or the medical community in general, and there may be insufficient insurance coverage and reimbursement.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There can be no assurance that IGALMI</w:t>
      </w:r>
      <w:r>
        <w:rPr>
          <w:rFonts w:ascii="Times New Roman;Times;serif" w:hAnsi="Times New Roman;Times;serif"/>
          <w:sz w:val="15"/>
        </w:rPr>
        <w:t>®</w:t>
      </w:r>
      <w:r>
        <w:rPr>
          <w:rFonts w:ascii="Times New Roman;Times;serif" w:hAnsi="Times New Roman;Times;serif"/>
          <w:sz w:val="20"/>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Times;serif" w:hAnsi="Times New Roman;Times;serif"/>
          <w:sz w:val="15"/>
        </w:rPr>
        <w:t>®</w:t>
      </w:r>
      <w:r>
        <w:rPr>
          <w:rFonts w:ascii="Times New Roman;Times;serif" w:hAnsi="Times New Roman;Times;serif"/>
          <w:sz w:val="20"/>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Times;serif" w:hAnsi="Times New Roman;Times;serif"/>
          <w:sz w:val="15"/>
        </w:rPr>
        <w:t>®</w:t>
      </w:r>
      <w:r>
        <w:rPr>
          <w:rFonts w:ascii="Times New Roman;Times;serif" w:hAnsi="Times New Roman;Times;serif"/>
          <w:sz w:val="20"/>
        </w:rPr>
        <w:t xml:space="preserve"> and any drugs we develop depends on a number of factors, including:</w:t>
      </w:r>
    </w:p>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demonstration of the clinical efficacy and safety of our products and product candidates;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market approval and commercial launch of our products and product candidates;</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our products and product candidates are approved;</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label and package insert requirements;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advantages and disadvantages of our products and product candidates compared to existing therapies;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interest in and growth of the market for anti-cancer or anti-agitation drugs;</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 of sales, marketing, and distribution support;</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pricing in absolute terms and relative to alternative treatments;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changes in health care laws, regulations, and medical policies;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coverage and reimbursement in select jurisdictions, and future changes to coverage and reimbursement policies of government and third-party payors.</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Significant uncertainty exists as to the coverage and reimbursement status of IGALMI</w:t>
      </w:r>
      <w:r>
        <w:rPr>
          <w:rFonts w:ascii="Times New Roman;Times;serif" w:hAnsi="Times New Roman;Times;serif"/>
          <w:sz w:val="15"/>
        </w:rPr>
        <w:t>®</w:t>
      </w:r>
      <w:r>
        <w:rPr>
          <w:rFonts w:ascii="Times New Roman;Times;serif" w:hAnsi="Times New Roman;Times;serif"/>
          <w:sz w:val="20"/>
        </w:rPr>
        <w:t xml:space="preserve"> or any product candidate for which we obtain regulatory approval. In the U.S. and other countries, sales of IGALMI</w:t>
      </w:r>
      <w:r>
        <w:rPr>
          <w:rFonts w:ascii="Times New Roman;Times;serif" w:hAnsi="Times New Roman;Times;serif"/>
          <w:sz w:val="15"/>
        </w:rPr>
        <w:t>®</w:t>
      </w:r>
      <w:r>
        <w:rPr>
          <w:rFonts w:ascii="Times New Roman;Times;serif" w:hAnsi="Times New Roman;Times;serif"/>
          <w:sz w:val="20"/>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Times;serif" w:hAnsi="Times New Roman;Times;serif"/>
          <w:sz w:val="15"/>
        </w:rPr>
        <w:t>®</w:t>
      </w:r>
      <w:r>
        <w:rPr>
          <w:rFonts w:ascii="Times New Roman;Times;serif" w:hAnsi="Times New Roman;Times;serif"/>
          <w:sz w:val="20"/>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Times;serif" w:hAnsi="Times New Roman;Times;serif"/>
          <w:sz w:val="15"/>
        </w:rPr>
        <w:t xml:space="preserve">® </w:t>
      </w:r>
      <w:r>
        <w:rPr>
          <w:rFonts w:ascii="Times New Roman;Times;serif" w:hAnsi="Times New Roman;Times;serif"/>
          <w:sz w:val="20"/>
        </w:rPr>
        <w:t xml:space="preserve">and the product candidates that we develop and may further limit our commercial opportunities. Our results of operations could be materially adversely affected by proposed health care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Health care reform measures could hinder or prevent our product candidates’ commercial success.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Times;serif" w:hAnsi="Times New Roman;Times;serif"/>
          <w:sz w:val="15"/>
        </w:rPr>
        <w:t>®</w:t>
      </w:r>
      <w:r>
        <w:rPr>
          <w:rFonts w:ascii="Times New Roman;Times;serif" w:hAnsi="Times New Roman;Times;serif"/>
          <w:sz w:val="20"/>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July 4, 2025, President Trump signed into law the One Big Beautiful Bill Act (“OBBBA”) which enacts significant changes to Medicaid and rescinds or does not continue major elements of the ACA. The legislation is projected to significantly reduce federal healthcare spending over the next decade due to a likely increase in the number of uninsured individuals. The OBBBA also restores the ability for companies to immediately deduct domestic research and experimentation (R&amp;E) costs, a provision that was previously phased out. This change provides significant tax relief and increases cash flow for biotech and life sciences companies, especially small and early-stage companies. The OBBBA also mandates that able-bodied Medicaid recipients aged 19-64 must work, volunteer, or attend school for at least 80 hours per month, or risk losing coverage. This is expected to reduce costs, but potentially also coverage for millions of people. The Company is still evaluating the impact of OBBBA.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 The rebate was previously capped at 100% of a drug's average manufacturer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As of January 17, 2025, HHS announced it will begin price negotiations for a list of fifteen additional drugs.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 on January 20, 2025, President Trump reversed some of President Biden’s executive orders including rescinding Executive Order 14087 entitled “Lowering Prescription Drug Costs for Americans.” President Trump may issue new executive orders designed to impact drug pricing, and/or rescind or modify the previous administration’s efforts to address drug costs. A number of these and other proposed measures may require authorization through additional legislation to become effective. Congress and the Trump administration have indicated that they will continue to seek new legislative measures to control drug costs. Additionally, OBBBA amends the IRA to be more favorable for orphan drug developers by allowing a drug with multiple orphan designations to remain exempt from price negotiation, potentially preserving profitability for rare disease therapies.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Trump administration is pursuing a two-fold strategy to reduce drug costs in the United States.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Times;serif" w:hAnsi="Times New Roman;Times;serif"/>
          <w:sz w:val="15"/>
        </w:rPr>
        <w:t>®</w:t>
      </w:r>
      <w:r>
        <w:rPr>
          <w:rFonts w:ascii="Times New Roman;Times;serif" w:hAnsi="Times New Roman;Times;serif"/>
          <w:sz w:val="20"/>
        </w:rPr>
        <w:t xml:space="preserve"> and any other drug products for which we may obtain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before="0" w:after="0"/>
        <w:ind w:left="0" w:right="0" w:hanging="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Times;serif" w:hAnsi="Times New Roman;Times;serif"/>
          <w:sz w:val="15"/>
        </w:rPr>
        <w:t>®</w:t>
      </w:r>
      <w:r>
        <w:rPr>
          <w:rFonts w:ascii="Times New Roman;Times;serif" w:hAnsi="Times New Roman;Times;serif"/>
          <w:sz w:val="20"/>
        </w:rPr>
        <w:t xml:space="preserve">,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if applicable, Medicare Part B. Failure to make necessary disclosures and/or to identify overpayments additionally could result in allegations against us under the Federal False Claims Act and other laws and regulations.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which we participate in the MDRP, no federal payments would be available under Medicaid or Medicare for our covered outpatient drugs. We cannot assure you that price data submissions we make will not be found to be incomplete or incorrect.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Relationship with BioXcel LLC</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continue to depend on BioXcel LLC to provide us with certain services for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management of and beneficial ownership in BioXcel LLC may create, or may create the appearance of, conflicts of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December 31, 2025, Dr. Mehta, through his beneficial ownership of BioXcel LLC, beneficially owned approximately 2.2%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Any disputes that arise between us and BioXcel LLC with respect to our past and ongoing relationships could harm our business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Disputes may arise between BioXcel LLC and us in a number of areas relating to our past and ongoing relationships,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technology and business matters, including failure to make required technology transfers and failure to comply with contractual provisions applicable to BioXcel LLC and us;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tax, employee benefit, indemnification and other matters arising from the separation of BTI from BioXcel LLC;</w:t>
            </w:r>
          </w:p>
        </w:tc>
      </w:tr>
    </w:tbl>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supply obligations;</w:t>
            </w:r>
          </w:p>
        </w:tc>
      </w:tr>
    </w:tbl>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retention and recruiting;</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involving us;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distributions by BioXcel LLC of all or any portion of its ownership interest in us;</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quality and pricing of services BioXcel LLC has agreed to provide us; and</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opportunities that may be attractive to both BioXcel LLC and us.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BioXcel LLC may experience challenges with the acquisition, development, enhancement, or deployment of technology necessary for EvolverAI. We may face similar challenges with other AI platforms that we may utilize, including our own in-house proprietary platform.</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may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lineRule="auto" w:line="240" w:before="0" w:after="200"/>
        <w:ind w:left="0" w:right="0" w:hanging="0"/>
        <w:jc w:val="left"/>
        <w:rPr>
          <w:rFonts w:ascii="Times New Roman;Times;serif" w:hAnsi="Times New Roman;Times;serif"/>
          <w:b/>
          <w:i/>
          <w:sz w:val="20"/>
        </w:rPr>
      </w:pPr>
      <w:r>
        <w:rPr>
          <w:rFonts w:ascii="Times New Roman;Times;serif" w:hAnsi="Times New Roman;Times;serif"/>
          <w:b/>
          <w:i/>
          <w:sz w:val="20"/>
        </w:rPr>
        <w:t>We are substantially dependent on third parties for the manufacture of our clinical supplies of our product candidates and our commercial supplies of IGALMI</w:t>
      </w:r>
      <w:r>
        <w:rPr>
          <w:rFonts w:ascii="Times New Roman;Times;serif" w:hAnsi="Times New Roman;Times;serif"/>
          <w:b/>
          <w:i/>
          <w:sz w:val="15"/>
        </w:rPr>
        <w:t>®</w:t>
      </w:r>
      <w:r>
        <w:rPr>
          <w:rFonts w:ascii="Times New Roman;Times;serif" w:hAnsi="Times New Roman;Times;serif"/>
          <w:b/>
          <w:i/>
          <w:sz w:val="20"/>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Times;serif" w:hAnsi="Times New Roman;Times;serif"/>
          <w:sz w:val="15"/>
        </w:rPr>
        <w:t>®</w:t>
      </w:r>
      <w:r>
        <w:rPr>
          <w:rFonts w:ascii="Times New Roman;Times;serif" w:hAnsi="Times New Roman;Times;serif"/>
          <w:sz w:val="20"/>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failure to find third-party collaborators to assist or share in the costs of product development could materially harm our business, financial condition,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research, preclinical development, clinical trials and manufacturing;</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and obtaining regulatory approvals; and</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successfully commercializing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or product candidates.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Times;serif" w:hAnsi="Times New Roman;Times;serif"/>
          <w:i/>
          <w:sz w:val="20"/>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Times;serif" w:hAnsi="Times New Roman;Times;serif"/>
          <w:sz w:val="20"/>
        </w:rPr>
        <w:t>.” As a result, our results of operations and the commercial prospects for our product candidates would be harmed, our costs could increase and our ability to generate revenues could be delayed.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Unfavorable global political or economic events and conditions could adversely affect our business, financial condition or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In addition,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and other conflicts in the Middle East,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Additionally, trade policies and geopolitical disputes and other international conflicts can result in tariffs, sanctions and other measures that restrict international trade, and can materially adversely affect our business, particularly if these measures affect regions where raw materials are sourced. For example, tensions between the United States and China have led to a series of tariffs being imposed by the United States on imports from China, as well as other business restrictions. Countries may also adopt other measures, such as controls on imports or exports of goods, technology or data, that could adversely impact our operations and supply chain. As these tensions continue to rise, more targeted approaches on certain products, industries or companies could significantly impact our development and commercialization efforts. The U.S. government has recently imposed tariffs on certain foreign goods, and some foreign governments have threatened or instituted retaliatory tariffs on certain U.S. goods and have indicated a willingness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impose additional tariffs on U.S. products, which could increase the cost of goods needed to commercialize our products and continue development of our product candidates.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severe or prolonged economic downturn, or additional global financial or political crises, could result in a variety of risks to our business, including delayed clinical studies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future success may depend on our ability to attract and retain qualified personnel, including consultants.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depend on our senior management team, and the loss of one or more of our executive officers or key employees or an inability to attract and retain highly skilled employees could adversely affect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Clinical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acquire other companies or technologies, which could divert our management’s attention, result in dilution to our stockholders and otherwise disrupt our operations and adversely affect our operating results.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integrate or benefit from acquired technologies or services in a profitable manner;</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associated with the acquisition;</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integrating the accounting systems, operations and personnel of the acquired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 additional expenses associated with supporting legacy products and hosting infrastructure of the acquired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converting the customers of the acquired business onto our platform and contract terms, including disparities in the revenue, licensing, support or professional services model of the acquired company;</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to our existing business relationships with business partners and customers as a result of the acquisition;</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loss of key employees;</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resources that are needed in other parts of our business; and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substantial portions of our available cash to consummate the acquisition.</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employees may engage in misconduct or other improper activities, including noncompliance with regulatory standards and requirements and insider trading.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Business interruptions could adversely affect future operations, revenues, and financial conditions, and may increase our costs and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Likewise, we will rely on third parties, including ARx, to manufacture IGALMI</w:t>
      </w:r>
      <w:r>
        <w:rPr>
          <w:rFonts w:ascii="Times New Roman;Times;serif" w:hAnsi="Times New Roman;Times;serif"/>
          <w:sz w:val="15"/>
        </w:rPr>
        <w:t>®</w:t>
      </w:r>
      <w:r>
        <w:rPr>
          <w:rFonts w:ascii="Times New Roman;Times;serif" w:hAnsi="Times New Roman;Times;serif"/>
          <w:sz w:val="20"/>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confidential or proprietary information, we could incur liability and the further development and commercialization of our product candidate could be delayed or altogether terminated.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our operations and business grow, we may become subject to or affected by new or additional data protection laws and regulations and face increased scrutiny or attention from regulatory authorities. In the U.S., HIPAA imposes,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Increased scrutiny of and evolving expectations for environmental, social and governance (“ESG”) initiatives may impose additional costs or otherwise adversely impact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failure to successfully acquire, develop and market additional product candidates or approved drug products could impair our ability to grow.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future acquisitions may entail numerous operational and financial risks, including:</w:t>
      </w:r>
    </w:p>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our business and diversion of our management’s and technical personnel’s time and attention to develop acquired products or technologies;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securities to pay for acquisitions;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retain key employees of any acquired businesses.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ability to use our net operating losses and tax credits to offset future taxable income and income tax liabilities may be limited.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At December 31, 2025 the Company had approximately $510.3 million of gross federal and $530.6 million of gross state net operating loss carry-forwards. The Tax Cuts and Jobs Act (“TCJA”) in December 2017 amended the net operating losses carryforward rules. Net operating losses generated after December 31, 2017, may be carried forward indefinitely, subject to certain limitations on their use. Net operating losses generated prior to 2018 may be carried forward for twenty years. If not utilized, these net operating losses will expire by 2037. State net operating losses have varying carryforward and applicable expiration periods. $507.7 million of the federal net operating losses were incurred after December 31, 2017, and will be carried forward indefinitely; the balance of the federal net operating losses are subject to expiration no later than 2037. The utilization of such net operating loss carry-forwards and realization of tax benefits in future years depends predominantly upon having taxable income. The Company has approximately $17.7 million of federal orphan drug credits and research and development credits which will begin to expire in 2037 if not utilized. The Company also has approximately $1.6 million of state research and development credits which will begin to expire in 2040 if not utilized.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under sections 382 and 383 of the Code, our federal net operating losses and tax credit carryforwards, such as research/development credits and orphan drug credits, may become subject to an annual limitation in the event of certain cumulative changes in the ownership interest of significant stockholders (or groups of stockholders) in excess of 50% over a rolling three-year period. Similar state provisions may also exist. These ownership changes may limit the amount of the net operating losses and tax credit carryforwards that can be utilized annually to offset future taxable income and income tax,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Entities are also required to evaluate, measure, recognize and disclose any uncertain federal or state income tax provisions taken on their income tax returns. The Company has analyzed its tax positions and has concluded that as of December 31, 2025, there were no uncertain tax positions. The Company's U.S. federal and state net operating losses have occurred since its inception in 2017 and as such, tax years subject to potential tax examination could apply from that date because the utilization of net operating losses from prior years opens the relevant tax year to audit by The U.S. Internal Revenue Service (“IRS”) and/or state taxing authorities. The Company did not have any unrecognized tax benefits and has not accrued any interest or penalties for the 12 months ended December 31, 2025 and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patent applications relating to our platform technologies covering methods of use and applications of the platform technologies.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degree of future protection for our proprietary rights is uncertain because legal means afford only limited protection and may not adequately protect our rights or permit us to gain or keep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might not have been the first to make the inventions covered by our issued patents or pending patent applications that we license or may own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future collaborators, might not have been the first to file patent applications covering certain of our or their inventions;</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patent applications or those that we may own in the future may not result in issued patents;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our issued patents or patent applications when issued may not cover our products or product candidates;</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that we obtain may not provide us with any competitive advantages;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seek patent protection for some of our proprietary technology or product candidates to maintain certain trade secrets or know-how, and a third party may subsequently file a patent covering such trade secrets or know-how;</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granted patents may be held invalid or unenforceable as a result of legal challenges by third parties; and</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Should any of these events occur, they could have a material adverse effect on our business, financial condition,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disputes may arise regarding intellectual property subject to a license agreement, including:</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third-party expresses interest in an area under a license that we are not pursuing, under the terms of certain of our license agreements, we may be required to sublicense rights in that area to a third-party, and that sublicense could harm our business;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joint creation or use of intellectual property by our licensors and us.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 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 NDA submitted under Section 505(b)(2) subjects us to the risk that we may be subject to a patent infringement lawsuit that would delay or prevent the review or approval of our product candidate.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product candidates have been or will be submitted to the FDA for approval under Section 505(b)(2) of the FDCA. Section 505(b)(2) permits the submission of an NDA where at least some of the information required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b/>
          <w:i/>
          <w:sz w:val="20"/>
        </w:rPr>
        <w:t>If our intellectual property related to IGALMI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b/>
          <w:i/>
          <w:sz w:val="20"/>
        </w:rPr>
        <w:t>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cannot be certain that others have not filed patent applications for technology covered by our pending applications, or that we were the first to invent the technology, because:</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patent applications in the U.S. may be maintained in secrecy until the patents are issued;</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in the U.S. are typically not published until 18 months after the priority date; and</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publications in the scientific literature often lag behind actual discoveries.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We may not be able to enforce our intellectual property rights throughout the world.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we may not be able to build name recognition in our markets of interest and our competitive position may be harmed.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rely on our trademarks, trade names and brand names, such as “IGALMI</w:t>
      </w:r>
      <w:r>
        <w:rPr>
          <w:rFonts w:ascii="Times New Roman;Times;serif" w:hAnsi="Times New Roman;Times;serif"/>
          <w:sz w:val="15"/>
        </w:rPr>
        <w:t>®</w:t>
      </w:r>
      <w:r>
        <w:rPr>
          <w:rFonts w:ascii="Times New Roman;Times;serif" w:hAnsi="Times New Roman;Times;serif"/>
          <w:sz w:val="20"/>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are not able to adequately prevent disclosure of trade secrets and other proprietary information, the value of our technology and products could be significantly diminished.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 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misappropriated the intellectual property rights, including know-how or trade secrets of a third party.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intellectual property may not be sufficient to protect our products from competition, which may negatively affect our business as well as limit our partnership or acquisition appeal.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monetary damages related to the legal expenses of the third 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facing additional competition that may have a significant adverse effect on our product pricing, market share, business operations, financial condition, and the commercial viability of our products;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patents we own or license and can be successfully defended or will protect us against future intellectual property challenges, particularly as they pertain to changes in patent law and future patent law interpretations.</w:t>
      </w:r>
    </w:p>
    <w:p>
      <w:pPr>
        <w:pStyle w:val="TextBody"/>
        <w:bidi w:val="0"/>
        <w:spacing w:before="200" w:after="0"/>
        <w:ind w:left="0" w:right="0" w:firstLine="360"/>
        <w:jc w:val="left"/>
        <w:rPr>
          <w:rFonts w:ascii="Times New Roman;Times;serif" w:hAnsi="Times New Roman;Times;serif"/>
          <w:sz w:val="20"/>
        </w:rPr>
      </w:pPr>
      <w:r>
        <w:rPr>
          <w:rFonts w:ascii="Times New Roman;Times;serif" w:hAnsi="Times New Roman;Times;serif"/>
          <w:sz w:val="20"/>
        </w:rPr>
        <w:t xml:space="preserve">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including Russia’s incursion into Ukraine, and the imposition of tariffs and responses to tariffs, may impact our ability to obtain and enforce patents in particular jurisdictions. If we are unable to obtain and enforce patents as needed in particular markets, our ability to exclude competitors in those markets may be reduced. </w:t>
      </w:r>
    </w:p>
    <w:p>
      <w:pPr>
        <w:pStyle w:val="TextBody"/>
        <w:bidi w:val="0"/>
        <w:spacing w:lineRule="auto" w:line="343"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Owning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may fluctuate substantially.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by our stockholders, executives, and directors;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 of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speculative trading in and short sales of our stock, as well as trading phenomena such as the “short squeeze” and “short and distort” schemes;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financings to conduct and complete research and development activities including, but not limited to, our clinical trials, and other business activities;</w:t>
            </w:r>
          </w:p>
        </w:tc>
      </w:tr>
    </w:tbl>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delays in the expected recognition of revenue due to lengthy and sometimes unpredictable sales timelines;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introductions of new applications and services by us or our competitors or any other change in the competitive dynamics of our industry, including consolidation among competitors, customers or strategic partners;</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outages or security breaches;</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renewal rates and the timing and terms of customer renewals;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resources and the necessary personnel to conduct clinical trials on our desired schedule;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enrollment or results of our clinical trials for our product candidates or any future clinical trials we may conduct;</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development status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delays or adverse developments or perceived adverse developments with respect to the FDA’s review of our preclinical and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our submission for studies or product approvals or adverse regulatory decisions, including failure to receive regulatory approval for our product candidates;</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safety concerns related to the use of our product candidates;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to meet external expectations or management guidance;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or dividend policy, future issuances of securities, sales of large blocks of common stock by our stockholders;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under our existing “at-the-market” equity offering program or other future issuances;</w:t>
            </w:r>
          </w:p>
        </w:tc>
      </w:tr>
    </w:tbl>
    <w:tbl>
      <w:tblPr>
        <w:tblW w:w="1986" w:type="dxa"/>
        <w:jc w:val="left"/>
        <w:tblInd w:w="0" w:type="dxa"/>
        <w:tblLayout w:type="fixed"/>
        <w:tblCellMar>
          <w:top w:w="28" w:type="dxa"/>
          <w:left w:w="28" w:type="dxa"/>
          <w:bottom w:w="28" w:type="dxa"/>
          <w:right w:w="28" w:type="dxa"/>
        </w:tblCellMar>
      </w:tblPr>
      <w:tblGrid>
        <w:gridCol w:w="124"/>
        <w:gridCol w:w="25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position;</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enter into new markets or develop new products;</w:t>
            </w:r>
          </w:p>
        </w:tc>
      </w:tr>
    </w:tbl>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issues;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existing technologies and products or new technologies and products that may emerge;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political and market conditions in or any of the regions in which we conduct our business;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industry conditions or perceptions;</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valuations of similar companies or groups of companies;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departures and additions of key personnel;</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rules, regulations, or accounting practices and other dynamics; and</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Future sales and issuances of our common stock, including common stock that may be sold following exercise of outstanding warrants, would result in additional dilution of the percentage ownership of our stockholders and could adversely impact the share price of our common stock.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expect that significant additional capital will be needed in the future to continue our planned operations, including, without limitation, funding our trials and studies, marketing and commercializing our products and funding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March 2024, we issued and sold in a registered direct offering 190,913 shares of our common stock, accompanying warrants to purchase up to 538,728 shares of our common stock and pre-funded warrants to purchase up to 347,814 shares of our common stock. In November 2024, we issued and sold in a registered direct offering 350,000 shares of our common stock, accompanying warrants to purchase up to 912,500 shares of our common stock and pre-funded warrants to purchase up to 562,500 shares of our common stock, (for additional information see Note 11, </w:t>
      </w:r>
      <w:r>
        <w:rPr>
          <w:rFonts w:ascii="Times New Roman;Times;serif" w:hAnsi="Times New Roman;Times;serif"/>
          <w:i/>
          <w:sz w:val="20"/>
        </w:rPr>
        <w:t xml:space="preserve">Common Stock Financing Activities </w:t>
      </w:r>
      <w:r>
        <w:rPr>
          <w:rFonts w:ascii="Times New Roman;Times;serif" w:hAnsi="Times New Roman;Times;serif"/>
          <w:sz w:val="20"/>
        </w:rPr>
        <w:t xml:space="preserve">in our Annual Report on Form 10-K for the fiscal year ended December 31, 2025). In addition, we issued additional warrants to purchase up to 312,506 shares of common stock in connection with the Fifth Amendment of our Credit Agreement (see Note 9, </w:t>
      </w:r>
      <w:r>
        <w:rPr>
          <w:rFonts w:ascii="Times New Roman;Times;serif" w:hAnsi="Times New Roman;Times;serif"/>
          <w:i/>
          <w:sz w:val="20"/>
        </w:rPr>
        <w:t>Debt and Credit Facilities</w:t>
      </w:r>
      <w:r>
        <w:rPr>
          <w:rFonts w:ascii="Times New Roman;Times;serif" w:hAnsi="Times New Roman;Times;serif"/>
          <w:sz w:val="20"/>
        </w:rPr>
        <w:t xml:space="preserve"> in this Annual Report on Form 10-K for additional information). In March 2025, we issued and sold in a registered direct offering 188,383 shares of common stock, pre-funded warrants to purchase up to 3,811,617 shares of our common stock, accompanying warrants to purchase up to 4 million shares, and option warrants to purchase an additional 4 million shares of common stock (or pre-funded warrants in lieu thereof) and 4 million warrants. The option warrants expired on March 18, 2025 without being exercised.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in April 2025, we entered into an Equity Distribution Agreement with Canaccord Genuity LLC establishing an “at-the-market” equity offering program under which Canaccord acts as sales agent (the “Company ATM Program”). On August 18, 2025, following an increase in the Company's public float above $75 million, we amended the program to permit sales of shares having an aggregate offering price of up to $80,000,000. Any sales under the Company ATM Program will be dilutive to existing stockholders and could adversely affect our stock price. From the inception of the Company ATM Program in April 2025 through December 31, 2025, we sold 12,086,560 shares of our common stock under the Equity Distribution Agreement for aggregate gross proceeds of approximately $34.5 million.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number of shares of common stock underlying our outstanding warrants is significant in relation to our outstanding common stock (29% as of March 26, 2026),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 Any future issuances of equity securities, including under our existing “at-the-market” program or in connection with potential strategic transactions, would further dilute existing stockholders and could materially and adversely affect the market price of our common stock and our ability to raise additional capital on favorable terms.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do not maintain compliance with the continued listing standards of the Nasdaq Capital Market,  Nasdaq may delist our common stock from trading on its exchange, which could limit investors' ability to make transactions in our securities and subject us to additional trading restrictions.</w:t>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common stock is currently listed for trading on Nasdaq and we are currently in compliance with all Nasdaq listing requirements. However, while the Company currently meets all Nasdaq Capital Market listing requirements for continued listing, we have in the past and may again in the future receive notice of the failure to satisfy a continued listing rule from Nasdaq</w:t>
      </w:r>
      <w:r>
        <w:rPr>
          <w:rFonts w:ascii="Times New Roman;Times;serif" w:hAnsi="Times New Roman;Times;serif"/>
          <w:b/>
          <w:i/>
          <w:sz w:val="20"/>
        </w:rPr>
        <w:t xml:space="preserv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can be no assurance that, should we fall out of compliance with the continued listing standards of Nasdaq, we will be able to regain and maintain compliance and will not face a delisting from Nasdaq in the future.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do not intend to pay cash dividends on our shares of common stock so any returns will be limited to the value of our shares.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are a “smaller reporting company” and are able to avail ourselves of reduced disclosure requirements applicable to smaller reporting companies, which could make our common stock less attractive to investors.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 smaller reporting company, and we will remain a smaller reporting company until we determine that either (1) 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Times;serif" w:hAnsi="Times New Roman;Times;serif"/>
          <w:i/>
          <w:sz w:val="20"/>
        </w:rPr>
        <w:t>Martin v. BioXcel Therapeutics, et al.</w:t>
      </w:r>
      <w:r>
        <w:rPr>
          <w:rFonts w:ascii="Times New Roman;Times;serif" w:hAnsi="Times New Roman;Times;serif"/>
          <w:sz w:val="20"/>
        </w:rPr>
        <w:t xml:space="preserve">, 3:23-cv-00915 (D. Conn). The case has since been renamed to </w:t>
      </w:r>
      <w:r>
        <w:rPr>
          <w:rFonts w:ascii="Times New Roman;Times;serif" w:hAnsi="Times New Roman;Times;serif"/>
          <w:i/>
          <w:sz w:val="20"/>
        </w:rPr>
        <w:t>Hills et al v. BioXcel Therapeutics, Inc. et al</w:t>
      </w:r>
      <w:r>
        <w:rPr>
          <w:rFonts w:ascii="Times New Roman;Times;serif" w:hAnsi="Times New Roman;Times;serif"/>
          <w:sz w:val="20"/>
        </w:rPr>
        <w:t xml:space="preserve">. On October 4, 2023, pursuant to the Private Securities Litigation Reform Act, the court appointed two co-Lead Plaintiffs. The co-Lead Plaintiffs filed an amended complaint on December 5, 2023, alleging violations of Sections 10(b) and 20A of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w:t>
      </w:r>
      <w:r>
        <w:rPr>
          <w:rFonts w:ascii="Times New Roman;Times;serif" w:hAnsi="Times New Roman;Times;serif"/>
          <w:sz w:val="20"/>
          <w:shd w:fill="FFFFFF" w:val="clear"/>
        </w:rPr>
        <w:t xml:space="preserve">On February 24, 2025, while the Company’s motion to dismiss remained pending, Plaintiffs moved for leave to further amend their complaint. On September 29, 2025, the Court issued an order granting Plaintiffs’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shd w:fill="FFFFFF" w:val="clear"/>
        </w:rPr>
        <w:t>motion for leave to amend, denying Defendants’ motion to dismiss as moot, and allowing Plaintiffs to proceed on certain of their claims. The Company filed an answer to the third amended complaint on October 28, 2025.</w:t>
      </w:r>
      <w:r>
        <w:rPr>
          <w:rFonts w:ascii="Times New Roman;Times;serif" w:hAnsi="Times New Roman;Times;serif"/>
          <w:sz w:val="20"/>
        </w:rPr>
        <w:t xml:space="preserve"> </w:t>
      </w:r>
      <w:r>
        <w:rPr>
          <w:rFonts w:ascii="Times New Roman;Times;serif" w:hAnsi="Times New Roman;Times;serif"/>
          <w:sz w:val="20"/>
          <w:shd w:fill="FFFFFF" w:val="clear"/>
        </w:rPr>
        <w:t>On January 23, 2026, the parties reached a tentative agreement to settle the action. In light of this agreement, on January 28, 2026, the Court entered an order vacating the scheduling order and requiring Plaintiffs to file a motion for preliminary approval of the settlement or status report by February 27, 2026. Plaintiffs filed a motion for preliminary approval on February 27, 2026, and the Court granted the motion on March 2, 2026. The hearing on the motion for final approval of the settlement is set for September 2, 2026.</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Times;serif" w:hAnsi="Times New Roman;Times;serif"/>
          <w:i/>
          <w:sz w:val="20"/>
        </w:rPr>
        <w:t>Panancherry et al v. Mehta et al</w:t>
      </w:r>
      <w:r>
        <w:rPr>
          <w:rFonts w:ascii="Times New Roman;Times;serif" w:hAnsi="Times New Roman;Times;serif"/>
          <w:sz w:val="20"/>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Exchange Act. The cases have been consolidated under the caption </w:t>
      </w:r>
      <w:r>
        <w:rPr>
          <w:rFonts w:ascii="Times New Roman;Times;serif" w:hAnsi="Times New Roman;Times;serif"/>
          <w:i/>
          <w:sz w:val="20"/>
        </w:rPr>
        <w:t>In re BioXcel Therapeutics, Inc. Stockholder Derivative Litigation</w:t>
      </w:r>
      <w:r>
        <w:rPr>
          <w:rFonts w:ascii="Times New Roman;Times;serif" w:hAnsi="Times New Roman;Times;serif"/>
          <w:sz w:val="20"/>
        </w:rPr>
        <w:t xml:space="preserve">, 3:23-cv-1554 (D. Conn.). On October 30, 2025, the Court entered the parties’ joint stipulation staying the consolidated action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Times;serif" w:hAnsi="Times New Roman;Times;serif"/>
          <w:i/>
          <w:sz w:val="20"/>
        </w:rPr>
        <w:t>Smith v. Mehta et al</w:t>
      </w:r>
      <w:r>
        <w:rPr>
          <w:rFonts w:ascii="Times New Roman;Times;serif" w:hAnsi="Times New Roman;Times;serif"/>
          <w:sz w:val="20"/>
        </w:rPr>
        <w:t xml:space="preserve">, 1:24-cv-00041. Following the initial action, Plaintiff Janice Korff filed a stockholder derivative complaint in the District of Delaware raising similar claims as Smith (1:24-cv-130), including business torts and violations of the Exchange Act. The cases have been consolidated under the caption </w:t>
      </w:r>
      <w:r>
        <w:rPr>
          <w:rFonts w:ascii="Times New Roman;Times;serif" w:hAnsi="Times New Roman;Times;serif"/>
          <w:i/>
          <w:sz w:val="20"/>
        </w:rPr>
        <w:t>In re BioXcel Therapeutics, Inc. Derivative Litigation,</w:t>
      </w:r>
      <w:r>
        <w:rPr>
          <w:rFonts w:ascii="Times New Roman;Times;serif" w:hAnsi="Times New Roman;Times;serif"/>
          <w:sz w:val="20"/>
        </w:rPr>
        <w:t xml:space="preserve"> 1:24-cv-00041 (D. Del.). On October 30, 2025, the Court entered the parties’ joint stipulation staying the consolidated action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Times;serif" w:hAnsi="Times New Roman;Times;serif"/>
          <w:i/>
          <w:sz w:val="20"/>
        </w:rPr>
        <w:t>Yaakov Portnoy, derivatively on behalf of BioXcel Therapeutics, Inc. v. Vimal Mehta, et al</w:t>
      </w:r>
      <w:r>
        <w:rPr>
          <w:rFonts w:ascii="Times New Roman;Times;serif" w:hAnsi="Times New Roman;Times;serif"/>
          <w:sz w:val="20"/>
        </w:rPr>
        <w:t xml:space="preserve">, 2025-0508-BWD (Del. Ch.).  The complaint alleges similar claims to those raised in </w:t>
      </w:r>
      <w:r>
        <w:rPr>
          <w:rFonts w:ascii="Times New Roman;Times;serif" w:hAnsi="Times New Roman;Times;serif"/>
          <w:i/>
          <w:sz w:val="20"/>
        </w:rPr>
        <w:t>In re BioXcel Therapeutics, Inc. Derivative Litigation</w:t>
      </w:r>
      <w:r>
        <w:rPr>
          <w:rFonts w:ascii="Times New Roman;Times;serif" w:hAnsi="Times New Roman;Times;serif"/>
          <w:sz w:val="20"/>
        </w:rPr>
        <w:t xml:space="preserve">, 1:24-cv-00041 (D. Del.), including business torts. On January 27, 2026, the Court entered the parties’ joint stipulation staying the case until the resolution of </w:t>
      </w:r>
      <w:r>
        <w:rPr>
          <w:rFonts w:ascii="Times New Roman;Times;serif" w:hAnsi="Times New Roman;Times;serif"/>
          <w:i/>
          <w:sz w:val="20"/>
        </w:rPr>
        <w:t>Hills v. BioXcel et al</w:t>
      </w:r>
      <w:r>
        <w:rPr>
          <w:rFonts w:ascii="Times New Roman;Times;serif" w:hAnsi="Times New Roman;Times;serif"/>
          <w:sz w:val="20"/>
        </w:rPr>
        <w:t>, 3:23-cv-00915 (D. Conn.).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is also cooperating with a formal investigation of the Company and certain of its officers and directors by the SEC, relating to the Company’s public disclosures—including about product sales and the receipt of a Form 483 by an investigator at one of the Company’s clinical trial sites in the TRANQUILITY II study, the Company’s technology platform, and study enrollment—and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certificate of incorporation, our bylaws, and Delaware law may have anti-takeover effects that could discourage, delay, or prevent a change in control, which may cause our stock price to decline.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board of directors with the ability to alter the bylaws without stockholder approval;</w:t>
            </w:r>
          </w:p>
        </w:tc>
      </w:tr>
    </w:tbl>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limitations on the removal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advance notice requirements for nominations for election to the board of directors or for proposing matters that can be acted upon at stockholder meetings;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vacancies on the board of directors may be filled by a majority of directors in office, although less than a quorum.</w:t>
            </w:r>
          </w:p>
        </w:tc>
      </w:tr>
    </w:tbl>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Financial reporting obligations of being a public company in the U.S. are expensive and time-consuming, and our management is required to devote substantial time to compliance matters.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or publish unfavorable research or reports about our business, our stock price and trading volume may decline.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tax laws or exposure to additional income tax liabilities could have a material impact on our business, results of operations, financial condition and cash flows.</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tax regimes we are subject to or operate under, including income and non-income taxes, are unsettled and may be subject to significant change. Changes in tax laws, regulations, or rulings, or changes in interpretations of existing laws and regulations, could materially adversely affect our business, financial condition, results of operations, and prospects. For example, the TCJA, the Coronavirus Aid, Relief and Economic Security Act, and the IRA made many significant changes to the U.S. tax laws. Beginning in 2022, the TCJA requires taxpayers to capitalize and amortize certain research and development expenditures over five years if incurred in the U.S. and 15 years if incurred in foreign jurisdictions, rather than deducting them currently. Although there have been legislative proposals to repeal or defer the research and development expenditure capitalization requirement to later years, there can be no assurance that the provision will be repealed or otherwise modified. As another example, the IRA includes provisions that will impact the U.S. federal income taxation of certain corporations, including imposing a minimum tax on the book income of certain large corporations and a 1% excise tax on the value of certain corporate stock repurchases by publicly traded companies that would be imposed on the company repurchasing such stock. Further, beginning with our 2025 tax year, the OBBBA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restored immediate deductibility of domestic expenditures, while foreign expenditures will continue to be capitalized and amortized over 15 years. Regulatory or accounting guidance with respect to existing or future tax laws could materially affect our tax obligations and effective tax rate. It is uncertain if, and to what extent, various states will conform to current federal law or any newly enacted federal tax legislation.</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example, the One Big Beautiful Bill Act (the “OBBBA”) was signed into law on July 4, 2025 and made significant changes to U.S. federal tax law. Changes to tax laws (which changes may have retroactive application) could adversely affect us or holders of our common stock. We are evaluating the elections available under the OBBBA. Based on our current assessment, we do not expect the changes to Section 174 under the OBBBA to have a material impact on our financial position or results of operations. For example, under Section 174 of the Internal Revenue Code of 1986, as amended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Additional indirect taxes in various jurisdictions could materially adversely affect our business, financial condition, results of operations, and prospects. </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currently collect and remit applicable indirect taxes in jurisdictions where we, through our employees or economic activity, have a presence and where we have determined, based on applicable legal precedents, that our activities are taxable. We do not currently collect and remit indirect taxes, including state and local excise, utility user, and ad valorem taxes, fees, and surcharges in jurisdictions where we believe we do not have sufficient “nexus.” Tax authorities may challenge our position that we do not have sufficient nexus in a taxing jurisdiction or that our activities are not taxable in such jurisdiction and may decide to audit our business and operations with respect to indirect taxes, which could result in significant tax liabilities (including related penalties and interest) for us or our customers, which could materially adversely affect our business, financial condition, results of operations, and prospects.</w:t>
      </w:r>
    </w:p>
    <w:p>
      <w:pPr>
        <w:pStyle w:val="TextBody"/>
        <w:bidi w:val="0"/>
        <w:spacing w:before="0" w:after="200"/>
        <w:ind w:left="0" w:right="0" w:hanging="0"/>
        <w:jc w:val="left"/>
        <w:rPr>
          <w:rFonts w:ascii="Times New Roman;Times;serif" w:hAnsi="Times New Roman;Times;serif"/>
          <w:b/>
          <w:sz w:val="20"/>
        </w:rPr>
      </w:pPr>
      <w:bookmarkStart w:id="40" w:name="Item1BUnresolvedStaffComments_512583"/>
      <w:bookmarkStart w:id="41" w:name="_d4ca8d96_3fac_45f5_b699_dd04f3a97a8a"/>
      <w:bookmarkEnd w:id="40"/>
      <w:bookmarkEnd w:id="41"/>
      <w:r>
        <w:rPr>
          <w:rFonts w:ascii="Times New Roman;Times;serif" w:hAnsi="Times New Roman;Times;serif"/>
          <w:b/>
          <w:sz w:val="20"/>
        </w:rPr>
        <w:t>Item 1B. Unresolved Staff Comments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bookmarkStart w:id="42" w:name="Item1C"/>
      <w:bookmarkStart w:id="43" w:name="_580972ea_3748_43bb_99cd_3f5e914c3a97"/>
      <w:bookmarkEnd w:id="42"/>
      <w:bookmarkEnd w:id="43"/>
      <w:r>
        <w:rPr>
          <w:rFonts w:ascii="Times New Roman;Times;serif" w:hAnsi="Times New Roman;Times;serif"/>
          <w:b/>
          <w:sz w:val="20"/>
        </w:rPr>
        <w:t>Item 1C. Cybersecurity</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have developed and implemented a cybersecurity risk management program intended to protect the confidentiality, integrity, and availability of our critical systems and information. Our cybersecurity risk management program includes a cybersecurity incident response plan.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designed and assessed our program based on the National Institute of Standards and Technology Cybersecurity Framework. This does not imply that we meet any particular technical standards, specifications, or requirements, only that we used the National Institute of Standards and Technology Cybersecurity Framework as a guide to help us identify, assess, and manage cybersecurity risks relevant to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Our cybersecurity risk management program includes:</w:t>
      </w:r>
    </w:p>
    <w:p>
      <w:pPr>
        <w:pStyle w:val="TextBody"/>
        <w:bidi w:val="0"/>
        <w:spacing w:before="0" w:after="160"/>
        <w:ind w:left="0" w:right="0" w:hanging="0"/>
        <w:jc w:val="left"/>
        <w:rPr/>
      </w:pPr>
      <w:r>
        <w:rPr/>
        <w:t>●</w:t>
      </w:r>
      <w:r>
        <w:rPr>
          <w:rFonts w:ascii="Times New Roman;Times;serif" w:hAnsi="Times New Roman;Times;serif"/>
          <w:sz w:val="20"/>
        </w:rPr>
        <w:t>risk assessments designed to help identify material cybersecurity risks to our critical systems, information, products, services, and our broader enterprise information technology environment;</w:t>
      </w:r>
    </w:p>
    <w:p>
      <w:pPr>
        <w:pStyle w:val="TextBody"/>
        <w:bidi w:val="0"/>
        <w:spacing w:before="0" w:after="160"/>
        <w:ind w:left="0" w:right="0" w:hanging="0"/>
        <w:jc w:val="left"/>
        <w:rPr/>
      </w:pPr>
      <w:r>
        <w:rPr/>
        <w:t>●</w:t>
      </w:r>
      <w:r>
        <w:rPr>
          <w:rFonts w:ascii="Times New Roman;Times;serif" w:hAnsi="Times New Roman;Times;serif"/>
          <w:sz w:val="20"/>
        </w:rPr>
        <w:t>a management team responsible for managing (1) our cybersecurity risk assessment processes, (2) our security controls, and (3) our response to cybersecurity incidents;</w:t>
      </w:r>
    </w:p>
    <w:p>
      <w:pPr>
        <w:pStyle w:val="TextBody"/>
        <w:bidi w:val="0"/>
        <w:spacing w:before="0" w:after="160"/>
        <w:ind w:left="0" w:right="0" w:hanging="0"/>
        <w:jc w:val="left"/>
        <w:rPr/>
      </w:pPr>
      <w:r>
        <w:rPr/>
        <w:t>●</w:t>
      </w:r>
      <w:r>
        <w:rPr>
          <w:rFonts w:ascii="Times New Roman;Times;serif" w:hAnsi="Times New Roman;Times;serif"/>
          <w:sz w:val="20"/>
        </w:rPr>
        <w:t>the use of external service providers, where appropriate, to assess, test or otherwise assist with aspects of our security controls;</w:t>
      </w:r>
    </w:p>
    <w:p>
      <w:pPr>
        <w:pStyle w:val="TextBody"/>
        <w:bidi w:val="0"/>
        <w:spacing w:before="0" w:after="160"/>
        <w:ind w:left="0" w:right="0" w:hanging="0"/>
        <w:jc w:val="left"/>
        <w:rPr/>
      </w:pPr>
      <w:r>
        <w:rPr/>
        <w:t>●</w:t>
      </w:r>
      <w:r>
        <w:rPr>
          <w:rFonts w:ascii="Times New Roman;Times;serif" w:hAnsi="Times New Roman;Times;serif"/>
          <w:sz w:val="20"/>
        </w:rPr>
        <w:t xml:space="preserve">cybersecurity awareness training of our employees, incident response personnel, and senior management; </w:t>
      </w:r>
    </w:p>
    <w:p>
      <w:pPr>
        <w:pStyle w:val="TextBody"/>
        <w:bidi w:val="0"/>
        <w:spacing w:before="0" w:after="160"/>
        <w:ind w:left="0" w:right="0" w:hanging="0"/>
        <w:jc w:val="left"/>
        <w:rPr/>
      </w:pPr>
      <w:r>
        <w:rPr/>
        <w:t>●</w:t>
      </w:r>
      <w:r>
        <w:rPr>
          <w:rFonts w:ascii="Times New Roman;Times;serif" w:hAnsi="Times New Roman;Times;serif"/>
          <w:sz w:val="20"/>
        </w:rPr>
        <w:t>a cybersecurity incident response plan that includes procedures for responding to cybersecurity incidents; and</w:t>
      </w:r>
    </w:p>
    <w:p>
      <w:pPr>
        <w:pStyle w:val="TextBody"/>
        <w:bidi w:val="0"/>
        <w:ind w:left="0" w:right="0" w:hanging="0"/>
        <w:jc w:val="left"/>
        <w:rPr/>
      </w:pPr>
      <w:r>
        <w:rPr/>
        <w:t>●</w:t>
      </w:r>
      <w:r>
        <w:rPr>
          <w:rFonts w:ascii="Times New Roman;Times;serif" w:hAnsi="Times New Roman;Times;serif"/>
          <w:sz w:val="20"/>
        </w:rPr>
        <w:t>a third-party risk management process for service providers, suppliers, and vendors.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There can be no assurance that our cybersecurity risk management program and processes, including our policies, controls or procedures, will be fully implemented, complied with or effective in protecting our systems and information.</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Factors— Business interruptions could adversely affect future operations, revenues, and financial conditions, and may increase our costs and expenses.”</w:t>
      </w:r>
    </w:p>
    <w:p>
      <w:pPr>
        <w:pStyle w:val="TextBody"/>
        <w:bidi w:val="0"/>
        <w:spacing w:before="0" w:after="160"/>
        <w:ind w:left="0" w:right="0" w:firstLine="360"/>
        <w:jc w:val="left"/>
        <w:rPr>
          <w:rFonts w:ascii="Times New Roman;Times;serif" w:hAnsi="Times New Roman;Times;serif"/>
          <w:b/>
          <w:sz w:val="20"/>
        </w:rPr>
      </w:pPr>
      <w:r>
        <w:rPr>
          <w:rFonts w:ascii="Times New Roman;Times;serif" w:hAnsi="Times New Roman;Times;serif"/>
          <w:b/>
          <w:sz w:val="20"/>
        </w:rPr>
        <w:t>Cybersecurity Governance</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 </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 xml:space="preserve">The Committee receives periodic reports from management on our cybersecurity risks. In addition, management updates the Committee, as necessary, regarding any material cybersecurity incidents, as well as any incidents with lesser impact potential. </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Committee reports to the full Board regarding its activities, including those related to cybersecurity. The full Board also receives briefings from management on our cyber risk management program. Board members receive presentations on cybersecurity topics from the internal Security Incident Management Team or external experts as part of the Board’s continuing education on topics that impact public companies.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Our Security Incident Management Team, which includes our Chief Financial Officer, the Executive Director of Information Technology, Chief Legal Officer and the Quality Assurance Director, has approximately 30 combined years of risk management experience and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Security Incident Management Team’s experience includes prior work experience in cybersecurity; financial management and controls, data quality assurance and liability and risk management.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44" w:name="Item2Properties_105398"/>
      <w:bookmarkStart w:id="45" w:name="_9a0fb9f0_872a_4aa0_bfab_1b0dbee17904"/>
      <w:bookmarkEnd w:id="44"/>
      <w:bookmarkEnd w:id="45"/>
      <w:r>
        <w:rPr>
          <w:rFonts w:ascii="Times New Roman;Times;serif" w:hAnsi="Times New Roman;Times;serif"/>
          <w:b/>
          <w:sz w:val="20"/>
        </w:rPr>
        <w:t>Item 2. Properties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corporate headquarters are located at 555 Long Wharf Drive in New Haven, Connecticut. The Company occupies 18,285 square feet of space. The leases for this space expire in February 2026 and we have a renewal option for one additional five-year term. We believe that our existing facilities are suitable and adequate to meet our current needs. </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(i)On February 17, 2026, we agreed to extend our lease on a month-to-month basis beginning March 1, 2026, subject to termination by either party, for any or no reason, by giving the other party written notice at least one (1) full calendar month prior to the intended date of termination; and</w:t>
      </w:r>
    </w:p>
    <w:p>
      <w:pPr>
        <w:pStyle w:val="TextBody"/>
        <w:bidi w:val="0"/>
        <w:spacing w:before="0" w:after="0"/>
        <w:ind w:left="1440" w:right="0" w:hanging="0"/>
        <w:jc w:val="both"/>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(ii)said extension shall be upon all of the same terms and conditions as currently apply under the Lease, including, without limitation, continued payment of monthly Base Rent of $32,684.44 and monthly Base Electric Charge of $2,895.13.</w:t>
      </w:r>
    </w:p>
    <w:p>
      <w:pPr>
        <w:pStyle w:val="TextBody"/>
        <w:bidi w:val="0"/>
        <w:spacing w:before="0" w:after="0"/>
        <w:ind w:left="72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46" w:name="Item3LegalProceedings_216198"/>
      <w:bookmarkStart w:id="47" w:name="_b88144fa_f179_42d2_ae67_cc344b0ccc80"/>
      <w:bookmarkEnd w:id="46"/>
      <w:bookmarkEnd w:id="47"/>
      <w:r>
        <w:rPr>
          <w:rFonts w:ascii="Times New Roman;Times;serif" w:hAnsi="Times New Roman;Times;serif"/>
          <w:b/>
          <w:sz w:val="20"/>
        </w:rPr>
        <w:t>Item 3. Legal Proceedings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For information about our legal proceedings, see Note 18 to our audited financial statements included elsewhere in this Annual Report on Form 10-K which information is incorporated herein by reference.</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pStyle w:val="TextBody"/>
        <w:bidi w:val="0"/>
        <w:spacing w:before="0" w:after="200"/>
        <w:ind w:left="0" w:right="0" w:hanging="0"/>
        <w:jc w:val="left"/>
        <w:rPr>
          <w:rFonts w:ascii="Times New Roman;Times;serif" w:hAnsi="Times New Roman;Times;serif"/>
          <w:b/>
          <w:sz w:val="20"/>
        </w:rPr>
      </w:pPr>
      <w:bookmarkStart w:id="48" w:name="Item4MineSafetyDisclosures_460898"/>
      <w:bookmarkStart w:id="49" w:name="_b43ddc40_5573_4d10_a581_3503b52889e0"/>
      <w:bookmarkEnd w:id="48"/>
      <w:bookmarkEnd w:id="49"/>
      <w:r>
        <w:rPr>
          <w:rFonts w:ascii="Times New Roman;Times;serif" w:hAnsi="Times New Roman;Times;serif"/>
          <w:b/>
          <w:sz w:val="20"/>
        </w:rPr>
        <w:t>Item 4. Mine Safety Disclosures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50" w:name="PartII_326423"/>
      <w:bookmarkStart w:id="51" w:name="_38c74757_ed0b_4d38_ab32_afc71f37cb7c"/>
      <w:bookmarkEnd w:id="50"/>
      <w:bookmarkEnd w:id="51"/>
      <w:r>
        <w:rPr>
          <w:rFonts w:ascii="Times New Roman;Times;serif" w:hAnsi="Times New Roman;Times;serif"/>
          <w:b/>
          <w:sz w:val="20"/>
        </w:rPr>
        <w:t>Part II</w:t>
      </w:r>
    </w:p>
    <w:p>
      <w:pPr>
        <w:pStyle w:val="TextBody"/>
        <w:bidi w:val="0"/>
        <w:spacing w:before="0" w:after="200"/>
        <w:ind w:left="0" w:right="0" w:hanging="0"/>
        <w:jc w:val="left"/>
        <w:rPr>
          <w:rFonts w:ascii="Times New Roman;Times;serif" w:hAnsi="Times New Roman;Times;serif"/>
          <w:b/>
          <w:sz w:val="20"/>
        </w:rPr>
      </w:pPr>
      <w:bookmarkStart w:id="52" w:name="Item5MarketforRegistrantsCommonEquityRel"/>
      <w:bookmarkEnd w:id="52"/>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Our common stock is traded on The Nasdaq Capital Market</w:t>
      </w:r>
      <w:r>
        <w:rPr>
          <w:rFonts w:ascii="Times New Roman;Times;serif" w:hAnsi="Times New Roman;Times;serif"/>
          <w:sz w:val="15"/>
        </w:rPr>
        <w:t>®</w:t>
      </w:r>
      <w:r>
        <w:rPr>
          <w:rFonts w:ascii="Times New Roman;Times;serif" w:hAnsi="Times New Roman;Times;serif"/>
          <w:sz w:val="20"/>
        </w:rPr>
        <w:t xml:space="preserve"> under the symbol “BTAI.”</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Stockholders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March 26, 2026, there were 26 stockholders of record of our common stock. The actual number of holders of our common stock is greater than this number of record holders, and includes stockholders who are beneficial owners, but whose shares are held in street name by brokers or held by other nominees.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Equity Compensation Plans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information required by Item 5 of Form 10-K regarding equity compensation plans is incorporated herein by reference to Item 11. of Part III of this Annual Report on Form 10-K.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Unregistered Sales of Securities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unregistered sales of equity securities by the Company during the three months ended December 31, 2025, that was not previously disclosed on a Current Report on Form 8-K or Quarterly Report on Form 10-Q.</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rFonts w:ascii="Times New Roman;Times;serif" w:hAnsi="Times New Roman;Times;serif"/>
          <w:b/>
          <w:sz w:val="20"/>
        </w:rPr>
      </w:pPr>
      <w:bookmarkStart w:id="53" w:name="Item6Reserved_721061"/>
      <w:bookmarkStart w:id="54" w:name="_3586c6d5_bc2b_4700_8538_d7ecf696cef2"/>
      <w:bookmarkEnd w:id="53"/>
      <w:bookmarkEnd w:id="54"/>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5" w:name="Item7ManagementsDiscussionandAnalysisofF"/>
      <w:bookmarkStart w:id="56" w:name="_8a03e6da_806b_4a4f_9bce_cde33bfc9490"/>
      <w:bookmarkEnd w:id="55"/>
      <w:bookmarkEnd w:id="56"/>
      <w:r>
        <w:rPr>
          <w:rFonts w:ascii="Times New Roman;Times;serif" w:hAnsi="Times New Roman;Times;serif"/>
          <w:b/>
          <w:sz w:val="20"/>
        </w:rPr>
        <w:t>Item 7. Management’s Discussion and Analysis of Financial Condition and Results of Operations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consolidated financial statements and the related notes appearing elsewhere in this report. In addition to historical information, this discussion and analysis contains forward-looking statements that involve risks, uncertainties and assumptions.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BioXcel Therapeutics, Inc. (Nasdaq: BTAI, “the Company”) is a biopharmaceutical company built on artificial intelligence (“AI”) to develop transformative medicines in neuroscience. Our wholly owned subsidiary, OnkosXcel Therapeutics, is focused on the development of medicines in immuno-oncology. We have utilized cutting-edge technology and innovative research to develop high-value therapeutics aimed at transforming patients’ lives. We developed a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proven its potential to reduce the expense and time associated with drug development in diseases with substantial unmet medical needs.</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Our most advanced neuroscience candidate is BXCL501. In indications other than those approved by the U.S. Food and Drug Administration (FDA) as IGALMI</w:t>
      </w:r>
      <w:r>
        <w:rPr>
          <w:rFonts w:ascii="Times New Roman;Times;serif" w:hAnsi="Times New Roman;Times;serif"/>
          <w:sz w:val="15"/>
        </w:rPr>
        <w:t>®</w:t>
      </w:r>
      <w:r>
        <w:rPr>
          <w:rFonts w:ascii="Times New Roman;Times;serif" w:hAnsi="Times New Roman;Times;serif"/>
          <w:sz w:val="20"/>
        </w:rPr>
        <w:t>, BXCL501 is an investigational, proprietary, orally dissolving sublingual film formulation of dexmedetomidine in development for the treatment of agitation associated with psychiatric and neurological disorders. Our most advanced immuno-oncology asset, BXCL701, is an investigational oral innate immune activator from OnkosXcel Therapeutics as a potential therapy for the treatment of aggressive forms of prostate cancer, pancreatic cancer, and other solid and liquid tumors.</w:t>
      </w:r>
    </w:p>
    <w:p>
      <w:pPr>
        <w:pStyle w:val="TextBody"/>
        <w:shd w:fill="FFFFFF" w:val="clear"/>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April 6, 2022, we announced that the FDA approved IGALMI</w:t>
      </w:r>
      <w:r>
        <w:rPr>
          <w:rFonts w:ascii="Times New Roman;Times;serif" w:hAnsi="Times New Roman;Times;serif"/>
          <w:sz w:val="15"/>
        </w:rPr>
        <w:t>®</w:t>
      </w:r>
      <w:r>
        <w:rPr>
          <w:rFonts w:ascii="Times New Roman;Times;serif" w:hAnsi="Times New Roman;Times;serif"/>
          <w:sz w:val="20"/>
        </w:rPr>
        <w:t xml:space="preserve"> (dexmedetomidine) sublingual film for the acute treatment of agitation associated with schizophrenia or bipolar I or II disorder in adults. IGALMI</w:t>
      </w:r>
      <w:r>
        <w:rPr>
          <w:rFonts w:ascii="Times New Roman;Times;serif" w:hAnsi="Times New Roman;Times;serif"/>
          <w:sz w:val="15"/>
        </w:rPr>
        <w:t>®</w:t>
      </w:r>
      <w:r>
        <w:rPr>
          <w:rFonts w:ascii="Times New Roman;Times;serif" w:hAnsi="Times New Roman;Times;serif"/>
          <w:sz w:val="20"/>
        </w:rPr>
        <w:t xml:space="preserve"> is approved to be self-administrated by patients under the supervision of a health care provider. On July 6, 2022, we announced that IGALMI</w:t>
      </w:r>
      <w:r>
        <w:rPr>
          <w:rFonts w:ascii="Times New Roman;Times;serif" w:hAnsi="Times New Roman;Times;serif"/>
          <w:sz w:val="15"/>
        </w:rPr>
        <w:t>®</w:t>
      </w:r>
      <w:r>
        <w:rPr>
          <w:rFonts w:ascii="Times New Roman;Times;serif" w:hAnsi="Times New Roman;Times;serif"/>
          <w:sz w:val="20"/>
        </w:rPr>
        <w:t xml:space="preserve"> was commercially available in doses of 120 and 180 micrograms (“mcg”).</w:t>
      </w:r>
    </w:p>
    <w:p>
      <w:pPr>
        <w:pStyle w:val="TextBody"/>
        <w:shd w:fill="FFFFFF" w:val="clear"/>
        <w:bidi w:val="0"/>
        <w:spacing w:before="0" w:after="0"/>
        <w:ind w:left="0" w:right="0" w:firstLine="36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August 27, 2025 we announced that the SERENITY At-Home Pivotal Phase 3 trial evaluating the safety of BXCL501, as an acute treatment for agitation associated with bipolar disorders or schizophrenia in the at-home setting, met its primary objective. The data from this successful study will form the basis of the sNDA submission for a label expansion of IGALMI</w:t>
      </w:r>
      <w:r>
        <w:rPr>
          <w:rFonts w:ascii="Times New Roman;Times;serif" w:hAnsi="Times New Roman;Times;serif"/>
          <w:sz w:val="15"/>
        </w:rPr>
        <w:t>®</w:t>
      </w:r>
      <w:r>
        <w:rPr>
          <w:rFonts w:ascii="Times New Roman;Times;serif" w:hAnsi="Times New Roman;Times;serif"/>
          <w:sz w:val="20"/>
        </w:rPr>
        <w:t xml:space="preserve"> into the at-home setting. The sNDA was filed with the FDA on January 14, 2026.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September 10, 2025 we further announced positive topline exploratory efficacy data from the SERENITY At-Home Pivotal Phase 3 safety trial, which demonstrated BXCL501 had continued effects and consistent benefit with repeat dosing.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October 10, 2025 we announced positive results from the correlation study related to exploratory efficacy outcomes from the SERENITY At-Home trial. The results demonstrated a strong correlation between the clinician assessments and the patient or caregiver (informant) assessments. The results, along with the data from the SERENITY At-Home trial, have been included in the sNDA filed with the FDA on January 14, 2026.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TRANQUILITY program is designed to evaluate BXCL501 as a potential treatment option for agitation associated with Alzheimer’s dementia in the outpatient or at-home setting and in-care facilities. We have had several FDA meetings to discuss the development program, and the FDA has commented on the proposed protocol for our TRANQUILITY In-Care Phase 3 trial, which is designed to evaluate the efficacy and safety of a 60 mcg dose of BXCL501 for agitation associated with Alzheimer’s dementia. The Company is advancing plans for initiation of the trial upon funding.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deprioritized the development of BXCL501 for certain other proposed indications.</w:t>
      </w:r>
    </w:p>
    <w:p>
      <w:pPr>
        <w:pStyle w:val="TextBody"/>
        <w:shd w:fill="FFFFFF" w:val="clear"/>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most advanced immuno-oncology candidate, BXCL701, is an investigational oral innate immune activator from OnkosXcel Therapeutics as a potential therapy for the treatment of aggressive forms of prostate cancer, pancreatic cancer, and other solid and liquid tumors. Development of our BXCK701 programs continues to be deprioritized. </w:t>
      </w:r>
    </w:p>
    <w:p>
      <w:pPr>
        <w:pStyle w:val="TextBody"/>
        <w:bidi w:val="0"/>
        <w:spacing w:before="100" w:after="10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IGALMI</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b/>
          <w:sz w:val="20"/>
        </w:rPr>
        <w:t>Commercialization Strategy</w:t>
      </w:r>
    </w:p>
    <w:p>
      <w:pPr>
        <w:pStyle w:val="TextBody"/>
        <w:bidi w:val="0"/>
        <w:spacing w:before="100" w:after="100"/>
        <w:ind w:left="0" w:right="0" w:firstLine="36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We continue to support IGALMI</w:t>
      </w:r>
      <w:r>
        <w:rPr>
          <w:rFonts w:ascii="Times New Roman;Times;serif" w:hAnsi="Times New Roman;Times;serif"/>
          <w:sz w:val="15"/>
        </w:rPr>
        <w:t>®</w:t>
      </w:r>
      <w:r>
        <w:rPr>
          <w:rFonts w:ascii="Times New Roman;Times;serif" w:hAnsi="Times New Roman;Times;serif"/>
          <w:sz w:val="20"/>
        </w:rPr>
        <w:t xml:space="preserve"> in the hospital setting with minimal commercial support. On August 14, 2023, the Company announced it had implemented a shift in commercial strategy for IGALMI</w:t>
      </w:r>
      <w:r>
        <w:rPr>
          <w:rFonts w:ascii="Times New Roman;Times;serif" w:hAnsi="Times New Roman;Times;serif"/>
          <w:sz w:val="15"/>
        </w:rPr>
        <w:t>®</w:t>
      </w:r>
      <w:r>
        <w:rPr>
          <w:rFonts w:ascii="Times New Roman;Times;serif" w:hAnsi="Times New Roman;Times;serif"/>
          <w:sz w:val="20"/>
        </w:rPr>
        <w:t xml:space="preserve"> in the institutional setting, a reduction of in-hospital commercialization expenses, a suspension of programs no longer deemed core to the Company’s business, and a shift to focus on the development of BXCL501 for use in the at-home and care facilities in the treatment of acute agitation in schizophrenia and bipolar disorders, and in the treatment of acute agitation (non-daily) associated with dementia due to probable Alzheimer’s disease (collectively, the “ Clinical Reprioritization”). </w:t>
        <w:b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Following the Clinical Reprioritization, a small Corporate Account Director (“CAD”) team supported current customers and targeted Integrated Delivery Networks (“IDNs”) with educational support and contracting opportunities, while our trade operation supported customers with drug supply.  The goal of this approach was to help maintain current business and potentially broaden IGALMI</w:t>
      </w:r>
      <w:r>
        <w:rPr>
          <w:rFonts w:ascii="Times New Roman;Times;serif" w:hAnsi="Times New Roman;Times;serif"/>
          <w:sz w:val="15"/>
        </w:rPr>
        <w:t>®</w:t>
      </w:r>
      <w:r>
        <w:rPr>
          <w:rFonts w:ascii="Times New Roman;Times;serif" w:hAnsi="Times New Roman;Times;serif"/>
          <w:sz w:val="20"/>
        </w:rPr>
        <w:t xml:space="preserve"> utilization through volume contracting. </w:t>
      </w:r>
    </w:p>
    <w:p>
      <w:pPr>
        <w:pStyle w:val="TextBody"/>
        <w:bidi w:val="0"/>
        <w:spacing w:before="0" w:after="0"/>
        <w:ind w:left="0" w:right="0" w:firstLine="360"/>
        <w:jc w:val="left"/>
        <w:rPr/>
      </w:pPr>
      <w:r>
        <w:rPr/>
        <w:t>​</w:t>
      </w:r>
    </w:p>
    <w:p>
      <w:pPr>
        <w:pStyle w:val="TextBody"/>
        <w:shd w:fill="FFFFFF" w:val="clear"/>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As part of the Clinical Reprioritization in September 2024, further workforce reductions were made, including 9 additional marketing and sales employees. The Clinical Reprioritization staff reductions may have had impacts on net revenue. IGALMI</w:t>
      </w:r>
      <w:r>
        <w:rPr>
          <w:rFonts w:ascii="Times New Roman;Times;serif" w:hAnsi="Times New Roman;Times;serif"/>
          <w:sz w:val="15"/>
        </w:rPr>
        <w:t>®</w:t>
      </w:r>
      <w:r>
        <w:rPr>
          <w:rFonts w:ascii="Times New Roman;Times;serif" w:hAnsi="Times New Roman;Times;serif"/>
          <w:sz w:val="20"/>
        </w:rPr>
        <w:t xml:space="preserve"> product sales decreased to $642 for the year ended December 31, 2025 from $2,266 for the year ended December 31, 2024.</w:t>
      </w:r>
    </w:p>
    <w:p>
      <w:pPr>
        <w:pStyle w:val="TextBody"/>
        <w:shd w:fill="FFFFFF" w:val="clear"/>
        <w:bidi w:val="0"/>
        <w:spacing w:before="0" w:after="0"/>
        <w:ind w:left="0" w:right="0" w:firstLine="360"/>
        <w:jc w:val="left"/>
        <w:rPr/>
      </w:pPr>
      <w:r>
        <w:rPr/>
        <w: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We are currently seeking potential commercial partners. Our continued commercialization efforts for IGALMI</w:t>
      </w:r>
      <w:r>
        <w:rPr>
          <w:rFonts w:ascii="Times New Roman;Times;serif" w:hAnsi="Times New Roman;Times;serif"/>
          <w:sz w:val="15"/>
        </w:rPr>
        <w:t>®</w:t>
      </w:r>
      <w:r>
        <w:rPr>
          <w:rFonts w:ascii="Times New Roman;Times;serif" w:hAnsi="Times New Roman;Times;serif"/>
          <w:sz w:val="20"/>
        </w:rPr>
        <w:t xml:space="preserve"> are designed to build the foundation to launch additional potential follow-on indications, if any. If IGALMI</w:t>
      </w:r>
      <w:r>
        <w:rPr>
          <w:rFonts w:ascii="Times New Roman;Times;serif" w:hAnsi="Times New Roman;Times;serif"/>
          <w:sz w:val="15"/>
        </w:rPr>
        <w:t>®</w:t>
      </w:r>
      <w:r>
        <w:rPr>
          <w:rFonts w:ascii="Times New Roman;Times;serif" w:hAnsi="Times New Roman;Times;serif"/>
          <w:sz w:val="20"/>
        </w:rPr>
        <w:t xml:space="preserve"> would be approved outside the U.S., we would consider launching the product through collaborations with third parties.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IGALMI® sNDA Submission for At-Home Use and Milestone </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On January 20, 2026, we announced we submitted a supplemental New Drug Application, or sNDA, to the FDA for IGALMI® in the at-home use setting for the acute treatment of agitation associated with bipolar disorders or schizophrenia. This sNDA submission seeks to expand IGALMI’s label to include the broader at home patient population where there are no FDA-approved options currently available.</w:t>
      </w:r>
    </w:p>
    <w:p>
      <w:pPr>
        <w:pStyle w:val="TextBody"/>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March 2026 Offering and Warrant Amendment</w:t>
      </w:r>
    </w:p>
    <w:p>
      <w:pPr>
        <w:pStyle w:val="TextBody"/>
        <w:shd w:fill="FFFFFF" w:val="clear"/>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10, 2026, we entered into a securities purchase agreement (the “March 2026 Offering”) with the purchaser named therein (the “Purchaser”). Pursuant to the March 2026 Offering, we agreed to issue and sell to the Purchaser and the Purchaser agreed to buy in a registered direct offering (i) an aggregate of 2,480 shares (the “Shares”) of common stock, par value $0.001 per share (“Common Stock”) and accompanying warrants to purchase up to 2,480 shares of Common Stock at a combined offering price of $1.739 per Share and accompanying warrant, and (ii) Pre-Funded warrants to purchase up to 2,020 shares of Common Stock and accompanying warrants to purchase up to 2,020 shares of Common Stock, at a combined offering price of $1.738 per share underlying the Pre-Funded Warrants and accompanying warrant, which equals the offering price per Share and accompanying warrant less the $0.001 exercise price per share of the Pre-Funded Warrants, pursuant to our effective registration statement on Form S-3 (File No. 333-275261), including the base prospectus included therein, and a prospectus supplement filed with the Securities and Exchange Commission on March 10, 2026. The accompanying warrants have an exercise price of $1.614 per share, are immediately exercisable upon issuance, and will expire on the five-year anniversary of the date of issuance.</w:t>
      </w:r>
    </w:p>
    <w:p>
      <w:pPr>
        <w:pStyle w:val="TextBody"/>
        <w:shd w:fill="FFFFFF" w:val="clear"/>
        <w:bidi w:val="0"/>
        <w:spacing w:before="0" w:after="0"/>
        <w:ind w:left="0" w:right="0" w:firstLine="36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March 2026 Offering closed on March 11, 2026. We received aggregate gross proceeds of approximately $7,825, before deducting placement agent fees and estimated offering expenses payable by us.</w:t>
      </w:r>
    </w:p>
    <w:p>
      <w:pPr>
        <w:pStyle w:val="TextBody"/>
        <w:shd w:fill="FFFFFF" w:val="clear"/>
        <w:bidi w:val="0"/>
        <w:spacing w:before="0" w:after="0"/>
        <w:ind w:left="0" w:right="0" w:firstLine="360"/>
        <w:jc w:val="left"/>
        <w:rPr/>
      </w:pPr>
      <w:r>
        <w:rPr/>
        <w:t> </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Rodman &amp; Renshaw LLC (the “Placement Agent”) acted as our exclusive placement agent in connection with the March 2026 Offering. As compensation in connection with the March 2026 Offering, we agreed to pay the Placement Agent a cash fee equal to 6.0% of the gross proceeds from the March 2026 Offering, and issue to the Placement Agent or its designees warrants to purchase a number of shares of Common Stock equal to 4.0% of the aggregate number of shares placed in the Registered Direct Offering (180,031 shares), at an exercise price equal to 125% of the offering price per share (or $2.0175 per share), with a term of five years from the commencement of the Registered Direct Offering (the “Placement Agent Warrants”). We also agreed to reimburse the Placement Agent for certain expenses in an amount of up to $75 and to pay up to $16 for clearing and closing expenses.</w:t>
      </w:r>
    </w:p>
    <w:p>
      <w:pPr>
        <w:pStyle w:val="TextBody"/>
        <w:shd w:fill="FFFFFF" w:val="clear"/>
        <w:bidi w:val="0"/>
        <w:spacing w:before="0" w:after="0"/>
        <w:ind w:left="0" w:right="0" w:firstLine="360"/>
        <w:jc w:val="left"/>
        <w:rPr/>
      </w:pPr>
      <w:r>
        <w:rPr/>
        <w:t> </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March 2026 Offering, pursuant to the terms of a Warrant Amendment Agreement, dated as of March 10, 2026 (the “Warrant Amendment Agreement”), the exercise price of certain outstanding warrants issued on March 27, 2024 and November 25, 2024 to purchase up to an aggregate of 1,385 shares of Common Stock held by the Purchaser was reduced to $1.614 per share, equal to the exercise price of the Accompanying Warrants issued in the March 2026 Offering, and the term of such warrants was extended to five years following the closing date of the March 2026 Offering. The investor paid approximately $173 in exchange for the reduction in exercise price and the extension of the term of these warrants. We paid the Placement Agent a cash fee of 6.0% of the gross proceeds paid for the warrant amendment.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Neuroscience Clinical Programs</w:t>
      </w:r>
    </w:p>
    <w:p>
      <w:pPr>
        <w:pStyle w:val="TextBody"/>
        <w:shd w:fill="FFFFFF" w:val="clear"/>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is a summary of the status of our major clinical development programs as of the date of this Annual Report on Form 10-K:</w:t>
      </w:r>
    </w:p>
    <w:p>
      <w:pPr>
        <w:pStyle w:val="TextBody"/>
        <w:bidi w:val="0"/>
        <w:spacing w:before="0" w:after="200"/>
        <w:ind w:left="0" w:right="0" w:hanging="0"/>
        <w:jc w:val="center"/>
        <w:rPr/>
      </w:pPr>
      <w:r>
        <w:rPr/>
        <w:drawing>
          <wp:inline distT="0" distB="0" distL="0" distR="0">
            <wp:extent cx="6163310" cy="309118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6163310" cy="3091180"/>
                    </a:xfrm>
                    <a:prstGeom prst="rect">
                      <a:avLst/>
                    </a:prstGeom>
                  </pic:spPr>
                </pic:pic>
              </a:graphicData>
            </a:graphic>
          </wp:inline>
        </w:drawing>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additional information regarding our pipeline candidates, see Part I, Item 1, “Business” in this Annual Report on Form 10-K.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consolidated financial statements are prepared in accordance with U.S. Generally Accepted Accounting Principles (“GAAP”).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0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Revenue, Net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Revenue relates to sales of IGALMI</w:t>
      </w:r>
      <w:r>
        <w:rPr>
          <w:rFonts w:ascii="Times New Roman;Times;serif" w:hAnsi="Times New Roman;Times;serif"/>
          <w:sz w:val="15"/>
        </w:rPr>
        <w:t>®</w:t>
      </w:r>
      <w:r>
        <w:rPr>
          <w:rFonts w:ascii="Times New Roman;Times;serif" w:hAnsi="Times New Roman;Times;serif"/>
          <w:sz w:val="20"/>
        </w:rPr>
        <w:t xml:space="preserve"> and reflects limited market access since commercial launch in July 2022. The revenues are net of rebates, chargebacks, discounts, and other adjustments. During the fourth quarter of 2022, we began contracting directly with intermediaries such as GPOs.</w:t>
      </w:r>
    </w:p>
    <w:p>
      <w:pPr>
        <w:pStyle w:val="TextBody"/>
        <w:bidi w:val="0"/>
        <w:spacing w:before="0" w:after="20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Cost of goods sold primarily relates to the costs of producing, packaging, and delivering our product to customers as well as costs related to excess or obsolete inventory.</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expense research and development costs as incurred.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research and development costs by program for the years ended December 31, 2025 and 2024 were as follows:</w:t>
      </w:r>
    </w:p>
    <w:tbl>
      <w:tblPr>
        <w:tblW w:w="5633" w:type="dxa"/>
        <w:jc w:val="left"/>
        <w:tblInd w:w="0" w:type="dxa"/>
        <w:tblLayout w:type="fixed"/>
        <w:tblCellMar>
          <w:top w:w="0" w:type="dxa"/>
          <w:left w:w="0" w:type="dxa"/>
          <w:bottom w:w="0" w:type="dxa"/>
          <w:right w:w="0" w:type="dxa"/>
        </w:tblCellMar>
      </w:tblPr>
      <w:tblGrid>
        <w:gridCol w:w="3526"/>
        <w:gridCol w:w="109"/>
        <w:gridCol w:w="211"/>
        <w:gridCol w:w="676"/>
        <w:gridCol w:w="109"/>
        <w:gridCol w:w="211"/>
        <w:gridCol w:w="79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239010" cy="175260"/>
                      <wp:effectExtent l="0" t="0" r="0" b="0"/>
                      <wp:wrapNone/>
                      <wp:docPr id="6" name="Frame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7"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8"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29260" cy="175260"/>
                      <wp:effectExtent l="0" t="0" r="0" b="0"/>
                      <wp:wrapNone/>
                      <wp:docPr id="9" name="Frame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0"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1"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2285" cy="175260"/>
                      <wp:effectExtent l="0" t="0" r="0" b="0"/>
                      <wp:wrapNone/>
                      <wp:docPr id="12" name="Frame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9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external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BXCL501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13,397</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BXCL701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 programs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external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16,226</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personnel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12,047</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direct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Indirect costs and overhead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30,435</w:t>
            </w:r>
          </w:p>
        </w:tc>
      </w:tr>
    </w:tbl>
    <w:p>
      <w:pPr>
        <w:pStyle w:val="TextBody"/>
        <w:bidi w:val="0"/>
        <w:spacing w:before="0" w:after="0"/>
        <w:ind w:left="0" w:right="0" w:hanging="0"/>
        <w:jc w:val="left"/>
        <w:rPr/>
      </w:pPr>
      <w:r>
        <w:rPr/>
        <w:t>​</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and other corporate matters, professional fees for audit and tax services and insurance charges. We may also incur increased costs to comply with corporate governance, internal controls, investor relations and disclosures and similar requirements applicable to public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As a result of our restructuring activities completed during 2024, we expect that our selling, general and administrative expenses will decline due to IGALMI</w:t>
      </w:r>
      <w:r>
        <w:rPr>
          <w:rFonts w:ascii="Times New Roman;Times;serif" w:hAnsi="Times New Roman;Times;serif"/>
          <w:sz w:val="15"/>
        </w:rPr>
        <w:t>®</w:t>
      </w:r>
      <w:r>
        <w:rPr>
          <w:rFonts w:ascii="Times New Roman;Times;serif" w:hAnsi="Times New Roman;Times;serif"/>
          <w:sz w:val="20"/>
        </w:rPr>
        <w:t>’s restructured commercialization plan and reduced personnel costs. However, we may also experience increased selling, general and administrative expenses due to higher fees for outside consultants, attorneys, and accountants.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Restructuring Costs</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2023 Clinical Reprioritization </w:t>
      </w:r>
    </w:p>
    <w:p>
      <w:pPr>
        <w:pStyle w:val="TextBody"/>
        <w:bidi w:val="0"/>
        <w:spacing w:before="0" w:after="0"/>
        <w:ind w:left="0" w:right="0" w:firstLine="360"/>
        <w:jc w:val="left"/>
        <w:rPr/>
      </w:pPr>
      <w:r>
        <w:rPr/>
        <w:t>​</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On August 8, 2023, our Board of Directors approved a broad-based strategic reprioritization (the “Clinical Reprioritization”). We determined to take actions to reduce certain operational and workforce expenses no longer deemed core to ongoing operations to extend its cash runway and drive innovation and growth in high-potential clinical development and value-creating opportunities. These actions included a shift in commercial strategy for IGALMI</w:t>
      </w:r>
      <w:r>
        <w:rPr>
          <w:rFonts w:ascii="Times New Roman;Times;serif" w:hAnsi="Times New Roman;Times;serif"/>
          <w:sz w:val="15"/>
        </w:rPr>
        <w:t>®</w:t>
      </w:r>
      <w:r>
        <w:rPr>
          <w:rFonts w:ascii="Times New Roman;Times;serif" w:hAnsi="Times New Roman;Times;serif"/>
          <w:sz w:val="20"/>
        </w:rPr>
        <w:t xml:space="preserve"> in the institutional setting as described, a reduction of in-hospital commercialization expenses, a de-prioritization of programs no longer determined to be core to ongoing operations, and a prioritization on at-home treatment setting opportunities for BXCL501, all as described in Part I, Item 1, “Business”. </w:t>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part of this strategy, the Company’s Board of Directors approved a reduction of approximately 60% of the Company’s workforce. The Company notified impacted employees on August 14, 2023. </w:t>
      </w:r>
      <w:r>
        <w:rPr>
          <w:rFonts w:ascii="Times New Roman;Times;serif" w:hAnsi="Times New Roman;Times;serif"/>
          <w:sz w:val="20"/>
          <w:shd w:fill="FFFFFF" w:val="clear"/>
        </w:rPr>
        <w:t>The Clinical Reprioritization was substantially complete as of December 31, 2023, and the remaining restructuring costs were paid during the first quarter of 2024.</w:t>
      </w:r>
    </w:p>
    <w:p>
      <w:pPr>
        <w:pStyle w:val="TextBody"/>
        <w:bidi w:val="0"/>
        <w:spacing w:before="0" w:after="0"/>
        <w:ind w:left="360" w:right="0" w:hanging="0"/>
        <w:jc w:val="left"/>
        <w:rPr>
          <w:rFonts w:ascii="Times New Roman;Times;serif" w:hAnsi="Times New Roman;Times;serif"/>
          <w:b/>
          <w:sz w:val="20"/>
        </w:rPr>
      </w:pPr>
      <w:r>
        <w:rPr>
          <w:rFonts w:ascii="Times New Roman;Times;serif" w:hAnsi="Times New Roman;Times;serif"/>
          <w:b/>
          <w:sz w:val="20"/>
        </w:rPr>
        <w:t>2024 Clinical Reprioritization</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On September 17, 2024, the Company reduced its workforce by an additional 28% to extend its cash runway and prioritize clinical development of BXCL501. The Company completed the Clinical Reprioritization in October 2024, paid $475 of the related costs during the first quarter of 2025, and paid the remaining $128 during the second quarter of 2025.</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Management believes that, after giving effect to the</w:t>
      </w:r>
      <w:r>
        <w:rPr>
          <w:rFonts w:ascii="Times New Roman;Times;serif" w:hAnsi="Times New Roman;Times;serif"/>
          <w:sz w:val="20"/>
        </w:rPr>
        <w:t xml:space="preserve"> Clinical </w:t>
      </w:r>
      <w:r>
        <w:rPr>
          <w:rFonts w:ascii="Times New Roman;Times;serif" w:hAnsi="Times New Roman;Times;serif"/>
          <w:sz w:val="20"/>
          <w:shd w:fill="FFFFFF" w:val="clear"/>
        </w:rPr>
        <w:t>Reprioritization and additional restructuring activities completed, the Company’s cash, cash equivalents and restricted cash of $28,757 as of December 31, 2025 and proceeds subsequently raised pursuant to the ATM Program and pursuant to its Registered Direct Offering in March 2026, will allow the Company to fund its operations and meet its liquidity requirements into the second quarter of 2026.</w:t>
      </w:r>
    </w:p>
    <w:p>
      <w:pPr>
        <w:pStyle w:val="TextBody"/>
        <w:bidi w:val="0"/>
        <w:spacing w:before="0" w:after="0"/>
        <w:ind w:left="0" w:right="0" w:firstLine="360"/>
        <w:jc w:val="left"/>
        <w:rPr/>
      </w:pPr>
      <w:r>
        <w:rPr/>
        <w:t>​</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if we meet required milestones, and we are able to draw down additional funds under the Credit Agreement.</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 description of recently issued accounting pronouncements is set forth in Note 3, </w:t>
      </w:r>
      <w:r>
        <w:rPr>
          <w:rFonts w:ascii="Times New Roman;Times;serif" w:hAnsi="Times New Roman;Times;serif"/>
          <w:i/>
          <w:sz w:val="20"/>
        </w:rPr>
        <w:t>Summary of Significant Accounting Policies</w:t>
      </w:r>
      <w:r>
        <w:rPr>
          <w:rFonts w:ascii="Times New Roman;Times;serif" w:hAnsi="Times New Roman;Times;serif"/>
          <w:sz w:val="20"/>
        </w:rPr>
        <w:t xml:space="preserve"> to the consolidated financial statements included in this Annual Report on Form 10-K.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Comparison of the Years Ended December 31, 2025 and 2024</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Product Revenue, Net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Commercial sales of IGALMI</w:t>
      </w:r>
      <w:r>
        <w:rPr>
          <w:rFonts w:ascii="Times New Roman;Times;serif" w:hAnsi="Times New Roman;Times;serif"/>
          <w:sz w:val="15"/>
        </w:rPr>
        <w:t>®</w:t>
      </w:r>
      <w:r>
        <w:rPr>
          <w:rFonts w:ascii="Times New Roman;Times;serif" w:hAnsi="Times New Roman;Times;serif"/>
          <w:sz w:val="20"/>
        </w:rPr>
        <w:t xml:space="preserve"> launched in July 2022. As part of the Company’s Reprioritization, the IGALMI</w:t>
      </w:r>
      <w:r>
        <w:rPr>
          <w:rFonts w:ascii="Times New Roman;Times;serif" w:hAnsi="Times New Roman;Times;serif"/>
          <w:sz w:val="15"/>
        </w:rPr>
        <w:t>®</w:t>
      </w:r>
      <w:r>
        <w:rPr>
          <w:rFonts w:ascii="Times New Roman;Times;serif" w:hAnsi="Times New Roman;Times;serif"/>
          <w:sz w:val="20"/>
        </w:rPr>
        <w:t xml:space="preserve"> commercial team shifted focus to a hospital/contracting strategy with a Corporate Account Director (“CAD”) team. The goal of the realigned CAD team is to work with large hospital/Integrated Delivery Network (“IDN”) and drive sales utilizing a top-down approach, allowing the Company to continue to make inroads into the institutional market in a more cost-efficient manner. IGALMI</w:t>
      </w:r>
      <w:r>
        <w:rPr>
          <w:rFonts w:ascii="Times New Roman;Times;serif" w:hAnsi="Times New Roman;Times;serif"/>
          <w:sz w:val="15"/>
        </w:rPr>
        <w:t xml:space="preserve">® </w:t>
      </w:r>
      <w:r>
        <w:rPr>
          <w:rFonts w:ascii="Times New Roman;Times;serif" w:hAnsi="Times New Roman;Times;serif"/>
          <w:sz w:val="20"/>
        </w:rPr>
        <w:t xml:space="preserve">product revenue, net for the years ended December 31, 2025 and 2024 was $642 and $2,266, respectively. The decrease in sales was primarily due to a reduction in bulk sales to existing customers, an increase in GPO discounts, and a reduction in commercial activities due to the Clinical Reprioritization in May 2024 and September 2024. </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Cost of goods sold for the years ended December 31, 2025 and 2024 were $164 and $2,143, respectively, which primarily related to the costs to produce, package and deliver IGALMI</w:t>
      </w:r>
      <w:r>
        <w:rPr>
          <w:rFonts w:ascii="Times New Roman;Times;serif" w:hAnsi="Times New Roman;Times;serif"/>
          <w:sz w:val="15"/>
        </w:rPr>
        <w:t>®</w:t>
      </w:r>
      <w:r>
        <w:rPr>
          <w:rFonts w:ascii="Times New Roman;Times;serif" w:hAnsi="Times New Roman;Times;serif"/>
          <w:sz w:val="20"/>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Times;serif" w:hAnsi="Times New Roman;Times;serif"/>
          <w:sz w:val="15"/>
        </w:rPr>
        <w:t>®</w:t>
      </w:r>
      <w:r>
        <w:rPr>
          <w:rFonts w:ascii="Times New Roman;Times;serif" w:hAnsi="Times New Roman;Times;serif"/>
          <w:sz w:val="20"/>
        </w:rPr>
        <w:t xml:space="preserve"> and for ongoing clinical trials of our product candidate BXCL501, subject to certain alternative supply provisions. The decrease in Cost of goods sold for the year ended December 31, 2025 is primarily the result of lower charges for reserves for excess or obsolete inventory compared to the same period in 2024. Charges for reserves for excess or obsolete inventory were $108 and $1,980 for the year ended December 31, 2025 and 2024, respectively.</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Research and development expenses for the years ended December 31, 2025 and 2024 were as follows:</w:t>
      </w:r>
    </w:p>
    <w:tbl>
      <w:tblPr>
        <w:tblW w:w="8648" w:type="dxa"/>
        <w:jc w:val="left"/>
        <w:tblInd w:w="0" w:type="dxa"/>
        <w:tblLayout w:type="fixed"/>
        <w:tblCellMar>
          <w:top w:w="0" w:type="dxa"/>
          <w:left w:w="0" w:type="dxa"/>
          <w:bottom w:w="0" w:type="dxa"/>
          <w:right w:w="0" w:type="dxa"/>
        </w:tblCellMar>
      </w:tblPr>
      <w:tblGrid>
        <w:gridCol w:w="3601"/>
        <w:gridCol w:w="346"/>
        <w:gridCol w:w="211"/>
        <w:gridCol w:w="676"/>
        <w:gridCol w:w="346"/>
        <w:gridCol w:w="211"/>
        <w:gridCol w:w="676"/>
        <w:gridCol w:w="346"/>
        <w:gridCol w:w="211"/>
        <w:gridCol w:w="691"/>
        <w:gridCol w:w="146"/>
        <w:gridCol w:w="195"/>
        <w:gridCol w:w="676"/>
        <w:gridCol w:w="3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86635" cy="175260"/>
                      <wp:effectExtent l="0" t="0" r="0" b="0"/>
                      <wp:wrapNone/>
                      <wp:docPr id="13" name="Frame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4"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5"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175260"/>
                      <wp:effectExtent l="0" t="0" r="0" b="0"/>
                      <wp:wrapNone/>
                      <wp:docPr id="16" name="Frame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7"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8"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19" name="Frame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1"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8785" cy="175260"/>
                      <wp:effectExtent l="0" t="0" r="0" b="0"/>
                      <wp:wrapNone/>
                      <wp:docPr id="22" name="Frame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2710" cy="175260"/>
                      <wp:effectExtent l="0" t="0" r="0" b="0"/>
                      <wp:wrapNone/>
                      <wp:docPr id="23" name="Frame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3825" cy="175260"/>
                      <wp:effectExtent l="0" t="0" r="0" b="0"/>
                      <wp:wrapNone/>
                      <wp:docPr id="24" name="Frame20"/>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29260" cy="175260"/>
                      <wp:effectExtent l="0" t="0" r="0" b="0"/>
                      <wp:wrapNone/>
                      <wp:docPr id="25"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0660" cy="175260"/>
                      <wp:effectExtent l="0" t="0" r="0" b="0"/>
                      <wp:wrapNone/>
                      <wp:docPr id="26" name="Frame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95"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95"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95"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1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1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w:t>
            </w:r>
          </w:p>
        </w:tc>
        <w:tc>
          <w:tcPr>
            <w:tcW w:w="1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trials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w:t>
            </w:r>
          </w:p>
        </w:tc>
        <w:tc>
          <w:tcPr>
            <w:tcW w:w="1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 manufacturing and controls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1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1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decrease of $184 for the year ended December 31, 2025, compared to the year ended December 31, 2024 is primarily attributable to the following: </w:t>
      </w:r>
    </w:p>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personnel and related costs related to the Clinical Reprioritization.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non-cash stock compensation costs as a result of lower headcount coupled with reversals in accelerated stock compensation expense for employees terminated in the first quarter of 2025 resulting in a net $514 decrease.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Decreased professional fees due to lower pharmacology costs, research and discovery costs, toxicology, and consulting costs.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Increased clinical trials expense due to the execution of the SERENITY At-Home pivotal Phase 3 safety trial intended to support a supplemental new drug application to potentially expand the label of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into the outpatient or at-home setting.</w:t>
            </w:r>
          </w:p>
        </w:tc>
      </w:tr>
    </w:tbl>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Following IGALMI</w:t>
      </w:r>
      <w:r>
        <w:rPr>
          <w:rFonts w:ascii="Times New Roman;Times;serif" w:hAnsi="Times New Roman;Times;serif"/>
          <w:sz w:val="15"/>
        </w:rPr>
        <w:t>®</w:t>
      </w:r>
      <w:r>
        <w:rPr>
          <w:rFonts w:ascii="Times New Roman;Times;serif" w:hAnsi="Times New Roman;Times;serif"/>
          <w:sz w:val="20"/>
        </w:rPr>
        <w:t>’s approval by the FDA, we capitalize costs related to commercial production of IGALMI</w:t>
      </w:r>
      <w:r>
        <w:rPr>
          <w:rFonts w:ascii="Times New Roman;Times;serif" w:hAnsi="Times New Roman;Times;serif"/>
          <w:sz w:val="15"/>
        </w:rPr>
        <w:t>®</w:t>
      </w:r>
      <w:r>
        <w:rPr>
          <w:rFonts w:ascii="Times New Roman;Times;serif" w:hAnsi="Times New Roman;Times;serif"/>
          <w:sz w:val="20"/>
        </w:rPr>
        <w:t xml:space="preserve"> as inventory and expense those CMC costs related to clinical trials.</w:t>
      </w:r>
    </w:p>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Selling, general and administrative expenses for the years ended December 31, 2025 and 2024 were as follows:</w:t>
      </w:r>
    </w:p>
    <w:tbl>
      <w:tblPr>
        <w:tblW w:w="9338" w:type="dxa"/>
        <w:jc w:val="left"/>
        <w:tblInd w:w="0" w:type="dxa"/>
        <w:tblLayout w:type="fixed"/>
        <w:tblCellMar>
          <w:top w:w="0" w:type="dxa"/>
          <w:left w:w="0" w:type="dxa"/>
          <w:bottom w:w="0" w:type="dxa"/>
          <w:right w:w="0" w:type="dxa"/>
        </w:tblCellMar>
      </w:tblPr>
      <w:tblGrid>
        <w:gridCol w:w="4186"/>
        <w:gridCol w:w="346"/>
        <w:gridCol w:w="211"/>
        <w:gridCol w:w="676"/>
        <w:gridCol w:w="346"/>
        <w:gridCol w:w="211"/>
        <w:gridCol w:w="676"/>
        <w:gridCol w:w="346"/>
        <w:gridCol w:w="211"/>
        <w:gridCol w:w="796"/>
        <w:gridCol w:w="146"/>
        <w:gridCol w:w="195"/>
        <w:gridCol w:w="676"/>
        <w:gridCol w:w="31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658110" cy="175260"/>
                      <wp:effectExtent l="0" t="0" r="0" b="0"/>
                      <wp:wrapNone/>
                      <wp:docPr id="27" name="Frame2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8"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29260" cy="175260"/>
                      <wp:effectExtent l="0" t="0" r="0" b="0"/>
                      <wp:wrapNone/>
                      <wp:docPr id="30"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1"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2"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260" cy="175260"/>
                      <wp:effectExtent l="0" t="0" r="0" b="0"/>
                      <wp:wrapNone/>
                      <wp:docPr id="33" name="Frame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4"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5"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5460" cy="175260"/>
                      <wp:effectExtent l="0" t="0" r="0" b="0"/>
                      <wp:wrapNone/>
                      <wp:docPr id="36" name="Frame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2710" cy="175260"/>
                      <wp:effectExtent l="0" t="0" r="0" b="0"/>
                      <wp:wrapNone/>
                      <wp:docPr id="37" name="Frame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3825" cy="175260"/>
                      <wp:effectExtent l="0" t="0" r="0" b="0"/>
                      <wp:wrapNone/>
                      <wp:docPr id="38" name="Frame34"/>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260" cy="175260"/>
                      <wp:effectExtent l="0" t="0" r="0" b="0"/>
                      <wp:wrapNone/>
                      <wp:docPr id="39" name="Frame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0660" cy="175260"/>
                      <wp:effectExtent l="0" t="0" r="0" b="0"/>
                      <wp:wrapNone/>
                      <wp:docPr id="40" name="Frame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4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(3,940)</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(5,829)</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marketing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w:t>
            </w:r>
          </w:p>
        </w:tc>
        <w:tc>
          <w:tcPr>
            <w:tcW w:w="14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(13,998)</w:t>
            </w:r>
          </w:p>
        </w:tc>
        <w:tc>
          <w:tcPr>
            <w:tcW w:w="14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decrease of $13,998 for the year ended December 31, 2025, relative to the year ended December 31, 2024 is primarily attributable to:</w:t>
      </w:r>
    </w:p>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personnel costs due to the Clinical Reprioritization in May 2024 and September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Decreased professional fees, primarily related to lower legal costs in 2025 compared to 2024 and reductions in consulting for the year ended December 31, 2025. </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Decreased non-cash stock-based compensation costs as a result of lower headcount. </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other expenses, primarily travel expenses, as a result of lower headcount.</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commercial and marketing research costs.</w:t>
            </w:r>
          </w:p>
        </w:tc>
      </w:tr>
    </w:tbl>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Restructuring Costs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Restructuring costs were $194 and $2,441 for the years ended December 31, 2025 and 2024, respectively. See “Components of Our Results of Operations - Restructuring Costs” above for a discussion of the Company’s Clinical Reprioritization and restructuring activities. </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expense increased to $16,984 for the year ended December 31, 2025 compared to $15,129 for the year ended December 31, 2024, primarily due to higher debt balances and interest rates under the Credit Agreement. The expense was partially offset by interest income earned on cash and cash equivalents that were held primarily in short-term money market funds. Interest income decreased to $1,066 for the year ended December 31, 2025 compared to $2,602 for the year ended December 31, 2024, due to lower average cash balances during the year. Other (income) expense, net is primarily associated with changes in fair value of derivative financial instruments for the period, which relate to instruments associated with the Credit Agreement and the Company’s registered direct equity offerings.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Inflation generally affects us by increasing our labor costs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Times;serif" w:hAnsi="Times New Roman;Times;serif"/>
          <w:i/>
          <w:sz w:val="20"/>
        </w:rPr>
        <w:t>Health care reform measures could hinder or prevent our product candidates</w:t>
      </w:r>
      <w:r>
        <w:rPr>
          <w:rFonts w:ascii="Times New Roman;Times;serif" w:hAnsi="Times New Roman;Times;serif"/>
          <w:sz w:val="20"/>
        </w:rPr>
        <w:t>’ commercial success.” in Part I, Item 1A., “Risk Factors” elsewhere in this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Reverse Stock Split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February 10, 2025, the Company effected a 1-for-16 reverse stock split of its issued and outstanding common stock (the “Reverse Stock Split”). As a result of the Reverse Stock Split, each 16 shares of common stock issued and outstanding immediately prior to February 10, 2025 were automatically converted into 1 share of common stock. 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stock split.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December 31, 2025, we had cash, cash equivalents and restricted cash of $28,757, negative working capital of $9,241 and stockholders’ deficit of $95,463. Net cash used in operating activities was $57,615 and $72,027 for the years ended December 31, 2025 and 2024, respectively. We incurred losses of approximately $69,897 and $59,599 for the years ended December 31, 2025 and 2024,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Annual Report on Form 10-K.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pStyle w:val="TextBody"/>
        <w:bidi w:val="0"/>
        <w:spacing w:before="0" w:after="200"/>
        <w:ind w:left="0" w:right="0" w:hanging="0"/>
        <w:jc w:val="left"/>
        <w:rPr/>
      </w:pPr>
      <w:r>
        <w:rPr/>
        <w:t>●</w:t>
      </w:r>
      <w:r>
        <w:rPr>
          <w:rFonts w:ascii="Times New Roman;Times;serif" w:hAnsi="Times New Roman;Times;serif"/>
          <w:sz w:val="20"/>
        </w:rPr>
        <w:t>raise funding through the sale of the Company’s equity securities;</w:t>
      </w:r>
    </w:p>
    <w:p>
      <w:pPr>
        <w:pStyle w:val="TextBody"/>
        <w:bidi w:val="0"/>
        <w:spacing w:before="0" w:after="200"/>
        <w:ind w:left="0" w:right="0" w:hanging="0"/>
        <w:jc w:val="left"/>
        <w:rPr/>
      </w:pPr>
      <w:r>
        <w:rPr/>
        <w:t>●</w:t>
      </w:r>
      <w:r>
        <w:rPr>
          <w:rFonts w:ascii="Times New Roman;Times;serif" w:hAnsi="Times New Roman;Times;serif"/>
          <w:sz w:val="20"/>
        </w:rPr>
        <w:t>raise funding through third-party investments in or other strategic options for OnkosXcel;</w:t>
      </w:r>
    </w:p>
    <w:p>
      <w:pPr>
        <w:pStyle w:val="TextBody"/>
        <w:bidi w:val="0"/>
        <w:spacing w:before="0" w:after="200"/>
        <w:ind w:left="0" w:right="0" w:hanging="0"/>
        <w:jc w:val="left"/>
        <w:rPr/>
      </w:pPr>
      <w:r>
        <w:rPr/>
        <w:t>●</w:t>
      </w:r>
      <w:r>
        <w:rPr>
          <w:rFonts w:ascii="Times New Roman;Times;serif" w:hAnsi="Times New Roman;Times;serif"/>
          <w:sz w:val="20"/>
        </w:rPr>
        <w:t>raise funding through debt financing and/or restructuring of its existing Credit Agreement;</w:t>
      </w:r>
    </w:p>
    <w:p>
      <w:pPr>
        <w:pStyle w:val="TextBody"/>
        <w:bidi w:val="0"/>
        <w:spacing w:before="0" w:after="200"/>
        <w:ind w:left="0" w:right="0" w:hanging="0"/>
        <w:jc w:val="left"/>
        <w:rPr/>
      </w:pPr>
      <w:r>
        <w:rPr/>
        <w:t>●</w:t>
      </w:r>
      <w:r>
        <w:rPr>
          <w:rFonts w:ascii="Times New Roman;Times;serif" w:hAnsi="Times New Roman;Times;serif"/>
          <w:sz w:val="20"/>
        </w:rPr>
        <w:t>establish collaborations with potential partners to advance the Company’s product pipeline;</w:t>
      </w:r>
    </w:p>
    <w:p>
      <w:pPr>
        <w:pStyle w:val="TextBody"/>
        <w:bidi w:val="0"/>
        <w:spacing w:before="0" w:after="200"/>
        <w:ind w:left="0" w:right="0" w:hanging="0"/>
        <w:jc w:val="left"/>
        <w:rPr/>
      </w:pPr>
      <w:r>
        <w:rPr/>
        <w:t>●</w:t>
      </w:r>
      <w:r>
        <w:rPr>
          <w:rFonts w:ascii="Times New Roman;Times;serif" w:hAnsi="Times New Roman;Times;serif"/>
          <w:sz w:val="20"/>
        </w:rPr>
        <w:t>establish collaborations with potential marketing partners;</w:t>
      </w:r>
    </w:p>
    <w:p>
      <w:pPr>
        <w:pStyle w:val="TextBody"/>
        <w:bidi w:val="0"/>
        <w:spacing w:before="0" w:after="200"/>
        <w:ind w:left="0" w:right="0" w:hanging="0"/>
        <w:jc w:val="left"/>
        <w:rPr/>
      </w:pPr>
      <w:r>
        <w:rPr/>
        <w:t>●</w:t>
      </w:r>
      <w:r>
        <w:rPr>
          <w:rFonts w:ascii="Times New Roman;Times;serif" w:hAnsi="Times New Roman;Times;serif"/>
          <w:sz w:val="20"/>
        </w:rPr>
        <w:t>reduce overhead and headcount to focus on core priorities, and/or</w:t>
      </w:r>
    </w:p>
    <w:p>
      <w:pPr>
        <w:pStyle w:val="TextBody"/>
        <w:bidi w:val="0"/>
        <w:spacing w:before="0" w:after="200"/>
        <w:ind w:left="0" w:right="0" w:hanging="0"/>
        <w:jc w:val="left"/>
        <w:rPr/>
      </w:pPr>
      <w:r>
        <w:rPr/>
        <w:t>●</w:t>
      </w:r>
      <w:r>
        <w:rPr>
          <w:rFonts w:ascii="Times New Roman;Times;serif" w:hAnsi="Times New Roman;Times;serif"/>
          <w:sz w:val="20"/>
        </w:rPr>
        <w:t>any combination of the foregoing.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To date, we have continued research and development activities while managing our cash position. However, 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Annual Report on Form 10-K.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See “Risks Related to Financial Position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Need for Additional Capital — </w:t>
      </w:r>
      <w:r>
        <w:rPr>
          <w:rFonts w:ascii="Times New Roman;Times;serif" w:hAnsi="Times New Roman;Times;serif"/>
          <w:i/>
          <w:sz w:val="20"/>
        </w:rPr>
        <w:t>We will need substantial additional funding, and if we are unable to raise capital when needed, we could be forced to delay, reduce or eliminate our product development programs or commercialization efforts or otherwise seek strategic alternatives.</w:t>
      </w:r>
      <w:r>
        <w:rPr>
          <w:rFonts w:ascii="Times New Roman;Times;serif" w:hAnsi="Times New Roman;Times;serif"/>
          <w:sz w:val="20"/>
        </w:rPr>
        <w:t>” in Part I. Item 1A., “Risk Factors” elsewhere in this Annual Report on Form 10-K.</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 xml:space="preserve">Sources of Liquidity </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We have primarily focused our efforts on raising capital and building the products in our pipeline, and, although we generate revenue from sales of IGALMI</w:t>
      </w:r>
      <w:r>
        <w:rPr>
          <w:rFonts w:ascii="Times New Roman;Times;serif" w:hAnsi="Times New Roman;Times;serif"/>
          <w:sz w:val="15"/>
        </w:rPr>
        <w:t>®</w:t>
      </w:r>
      <w:r>
        <w:rPr>
          <w:rFonts w:ascii="Times New Roman;Times;serif" w:hAnsi="Times New Roman;Times;serif"/>
          <w:sz w:val="20"/>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Equity Distribution Agreement with Canaccord Genuity LLC (“Canaccord”), and borrowings under our Credit Agreement (as described below). We have not yet established an ongoing source of revenue sufficient to cover our operating costs and will need to do so in future periods.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Financing Agreements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On April 19, 2022, we entered into two financing agreements: the Credit Agreement and the RIFA. Pursuant to the Credit Agreement, the Lenders originally agreed to provide up to $135,000 in senior secured term loans to us. On April 28, 2022, we borrowed the first $70,000 tranche of loans under the Credit Agreement. Pursuant to the RIFA, the Purchasers agreed to provide us with up to $120,000 in financing for our near-term commercial activities of IGALMI</w:t>
      </w:r>
      <w:r>
        <w:rPr>
          <w:rFonts w:ascii="Times New Roman;Times;serif" w:hAnsi="Times New Roman;Times;serif"/>
          <w:sz w:val="15"/>
        </w:rPr>
        <w:t>®</w:t>
      </w:r>
      <w:r>
        <w:rPr>
          <w:rFonts w:ascii="Times New Roman;Times;serif" w:hAnsi="Times New Roman;Times;serif"/>
          <w:sz w:val="20"/>
        </w:rPr>
        <w:t xml:space="preserve">, development and commercialization of BXCL501 and other general corporate purposes. On July 8, 2022, we drew down the first tranche of $30,000 under the RIFA. In connection with the Credit Agreement, we granted to the Lenders (i) warrants to purchase up to 17 shares of our common stock (the “Closing Date Warrants”), (ii) rights to purchase up to $5,000 of our common stock and (iii) warrants to purchase up to 175 individual ownership units (i.e., not in thousands) in OnkosXcel (the “OnkosXcel Warrants”).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November 13,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were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December 5,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 In addition, the Second Amendment replaced the Credit Agreement’s existing “Tranche B” and “Tranche C” term loan opportunities with three new tranches aggregating up to $100,000 in potential funding: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$30,000 “Tranche C” term loan available upon satisfaction of the following conditions on or before December 31, 2025: (i) either (a) receipt of approval from the FDA of an sNDA in respect of the use of 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BXCL501 for opioid withdrawal) for the trailing twelve consecutive month period exceeding a specified amount.</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there are no remaining unfunded commitments under the Credit Agreement.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Second Amendment also modified the interest rate of the loans provided under the Credit Agreement to be a floating rate per annum equal to the secured overnight financing rate (“SOFR”) (subject to a SOFR floor of 2.5% and a cap of 5.5%) plus 7.5%.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Following the Second Amendment, we were required to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failed to meet the minimum revenue requirement.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connection with the closing of the Second Amendment, we amended and restated the Closing Date Warrants granted to the Lenders on April 19, 2022 to purchase up to 17 shares of the Company’s common stock at an exercise price of $320.64 per share. Pursuant to the amendment and restatement of the Closing Date Warrants, dated December 5, 2023 (the “Amended and Restated Closing Date Warrants”), the exercise price of the Closing Date Warrants was reduced to $58.3232 per share, which represented the arithmetic average of the volume-weighted average price of the Company’s common stock on the Nasdaq Capital Market during the 30 trading days preceding the Second Amendment Effective Date. In addition, the Company granted new warrants to the Lenders to purchase up to 4 shares of the Company’s common stock (the “2023 Warrant Shares”) at an exercise price of $58.3232 per share (the “2023 Warrants”). The Amended and Restated Closing Date Warrants and the 2023 Warrants will expire on April 19, 2029 and may be net exercised at the holder’s election.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February 12, 2024 (the “Third Amendment Effective Date”), we entered into the Third Amendment to Credit Agreement and Guaranty (the “Third Amendment”), pursuant to which the Lenders agreed to waive the covenant that we shall not receive a report and opinion from our independent auditors that contains a “going concern” or like qualification or exception or emphasis of matter of going concern footnote with respect to our financial statements for the fiscal year ended December 31, 2023 and, as a result, such event shall not be an event of default. As a condition to the effectiveness of the Third Amendment, among other things, we shall have received at least $40,000 in gross proceeds from a registered public sale of the Company’s common stock, warrants and/or pre-funded warrants on or before February 20, 2024. We did not meet this condition and therefore the Third Amendment did not become effective.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20, 2024, we entered into the Fourth Amendment to the Credit Agreement (“the Fourth Amendment”), pursuant to which the Lenders waived the Credit Agreement’s covenant that the report and opinion the Company received from its independent registered public accounting firm with respect to the financial statements for the year ending December 31, 2023 not contain a “going concern” or similar qualification.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Fourth Amendment included covenants that we receive, (i) after the effective date of the Fourth Amendment and on or before April 15, 2024, at least $25,000 in gross proceeds from the issuance of our common stock, warrants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and/or pre-funded warrants, and/or in non-refundable cash consideration from partnering transactions entered into after the effective date of the Fourth Amendment (so long as such partnering transactions would not require us or any of our subsidiaries to make any cash investments in connection with the partnering transactions and no such cash investments are made), and (ii) after the effective date of the Fourth Amendment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of the Fourth Amendment.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the Fourth Amendment provided that if we had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of the Fourth Amendment, the “Minimum Liquidity Amount” (as defined in the Credit Agreement) that we are required to maintain at all times will increase to $25,000 from $15,000, unless and until we had received, after the effective date of the Fourth Amendment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 of the Fourth Amendment.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connection with the Fourth Amendment, on the effective date of the Fourth Amendment, we granted new warrants to the Lenders to purchase up to 6 shares of our common stock (the “2024 Warrant Shares”) at an exercise price of $49.1568 per share (the “2024 Warrants”), which represents a 10% premium over the arithmetic average of the volume-weighted average price of our common stock on the Nasdaq Capital Market during the 30 trading days preceding the Effective Date. The 2024 Warrants will expire on April 19, 2029 and may be net exercised at the holder’s election.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21, 2024, the Company entered into the Fifth Amendment to Credit Agreement and Guaranty and First Amendment to Fourth Amendment to Credit Agreement and Guaranty (the “Fifth Amendment”).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Fifth Amendment included a new capital raising covenant requiring that the Company receive (A) after the effective date of the Fifth Amendment and on or prior to November 27,2024,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Raise 1 and Raise 2) from the same permitted capital raising activities listed in the preceding clause (B) (“Raise 3”). </w:t>
      </w:r>
      <w:r>
        <w:rPr>
          <w:rFonts w:ascii="Times New Roman;Times;serif" w:hAnsi="Times New Roman;Times;serif"/>
          <w:sz w:val="20"/>
          <w:shd w:fill="FFFFFF" w:val="clear"/>
        </w:rPr>
        <w:t>The Company has raised sufficient net proceeds to date to satisfy this requirement.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Fifth Amendment and the required capital raises described in the preceding paragraph, the Lenders agreed to modify the Credit Agreement’s minimum liquidity covenant to require minimum cash liquidity of $7,500 (instead of $25,000) from and after the closing of Raise 1 until March 30, 2025. On March 31, 2025, the minimum liquidity amount will increase to $10,000 and on September 30, 2025, the minimum liquidity amount will further increase to $15,000.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Fifth Amendment, the Company made the required one-time amortization payment of $2,500 principal amount, together with accrued and unpaid interest and a portion of the prepayment fee and other fees payable by December 31, 2024.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Fifth Amendment also modified the interest rate of the loans provided under the Credit Agreement from a floating rate of Term SOFR plus 7.50% per annum, to a fixed rate of 13% per annum, retroactive to and effective as of September 30, 2024. For the quarterly payment dates </w:t>
      </w:r>
      <w:r>
        <w:rPr>
          <w:rFonts w:ascii="Times New Roman;Times;serif" w:hAnsi="Times New Roman;Times;serif"/>
          <w:color w:val="202020"/>
          <w:sz w:val="20"/>
        </w:rPr>
        <w:t>ending December 31, 2024, March 31, 2025, and June 30, 2025, t</w:t>
      </w:r>
      <w:r>
        <w:rPr>
          <w:rFonts w:ascii="Times New Roman;Times;serif" w:hAnsi="Times New Roman;Times;serif"/>
          <w:sz w:val="20"/>
        </w:rPr>
        <w:t>he Company will have the ability to make interest payments of up to 10% per annum “in-kind” by capitalizing and adding such interest to the outstanding principal amount of the loans under the Credit Agreement</w:t>
      </w:r>
      <w:r>
        <w:rPr>
          <w:rFonts w:ascii="Times New Roman;Times;serif" w:hAnsi="Times New Roman;Times;serif"/>
          <w:color w:val="202020"/>
          <w:sz w:val="20"/>
        </w:rPr>
        <w:t xml:space="preserve">. </w:t>
      </w:r>
      <w:r>
        <w:rPr>
          <w:rFonts w:ascii="Times New Roman;Times;serif" w:hAnsi="Times New Roman;Times;serif"/>
          <w:sz w:val="20"/>
        </w:rPr>
        <w:t xml:space="preserve">In addition, pursuant to the Fifth Amendment, the Company will be required to make quarterly amortization payments equal to 5.0% of the principal amount of funded loans, together with applicable prepayment fees, beginning on March 31, 2026.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color w:val="202020"/>
          <w:sz w:val="20"/>
        </w:rPr>
      </w:pPr>
      <w:r>
        <w:rPr>
          <w:rFonts w:ascii="Times New Roman;Times;serif" w:hAnsi="Times New Roman;Times;serif"/>
          <w:color w:val="202020"/>
          <w:sz w:val="20"/>
        </w:rPr>
        <w:t xml:space="preserve">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 </w:t>
      </w:r>
    </w:p>
    <w:p>
      <w:pPr>
        <w:pStyle w:val="TextBody"/>
        <w:bidi w:val="0"/>
        <w:spacing w:before="0" w:after="0"/>
        <w:ind w:left="0" w:right="0" w:hanging="0"/>
        <w:jc w:val="both"/>
        <w:rPr>
          <w:color w:val="202020"/>
        </w:rPr>
      </w:pPr>
      <w:r>
        <w:rPr>
          <w:color w:val="202020"/>
        </w:rPr>
        <w:t>​</w:t>
      </w:r>
    </w:p>
    <w:p>
      <w:pPr>
        <w:pStyle w:val="TextBody"/>
        <w:bidi w:val="0"/>
        <w:spacing w:before="0" w:after="0"/>
        <w:ind w:left="0" w:right="0" w:firstLine="360"/>
        <w:jc w:val="both"/>
        <w:rPr>
          <w:rFonts w:ascii="Times New Roman;Times;serif" w:hAnsi="Times New Roman;Times;serif"/>
          <w:color w:val="202020"/>
          <w:sz w:val="20"/>
        </w:rPr>
      </w:pPr>
      <w:r>
        <w:rPr>
          <w:rFonts w:ascii="Times New Roman;Times;serif" w:hAnsi="Times New Roman;Times;serif"/>
          <w:color w:val="202020"/>
          <w:sz w:val="20"/>
        </w:rPr>
        <w:t xml:space="preserve">The Fifth Amendment amended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 </w:t>
      </w:r>
    </w:p>
    <w:p>
      <w:pPr>
        <w:pStyle w:val="TextBody"/>
        <w:bidi w:val="0"/>
        <w:spacing w:before="0" w:after="0"/>
        <w:ind w:left="0" w:right="0" w:hanging="0"/>
        <w:jc w:val="both"/>
        <w:rPr>
          <w:color w:val="202020"/>
        </w:rPr>
      </w:pPr>
      <w:r>
        <w:rPr>
          <w:color w:val="202020"/>
        </w:rPr>
        <w:t>​</w:t>
      </w:r>
    </w:p>
    <w:p>
      <w:pPr>
        <w:pStyle w:val="TextBody"/>
        <w:bidi w:val="0"/>
        <w:spacing w:before="0" w:after="0"/>
        <w:ind w:left="0" w:right="0" w:firstLine="360"/>
        <w:jc w:val="both"/>
        <w:rPr>
          <w:rFonts w:ascii="Times New Roman;Times;serif" w:hAnsi="Times New Roman;Times;serif"/>
          <w:color w:val="202020"/>
          <w:sz w:val="20"/>
        </w:rPr>
      </w:pPr>
      <w:r>
        <w:rPr>
          <w:rFonts w:ascii="Times New Roman;Times;serif" w:hAnsi="Times New Roman;Times;serif"/>
          <w:color w:val="202020"/>
          <w:sz w:val="20"/>
        </w:rPr>
        <w:t xml:space="preserve">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 </w:t>
      </w:r>
    </w:p>
    <w:p>
      <w:pPr>
        <w:pStyle w:val="TextBody"/>
        <w:bidi w:val="0"/>
        <w:spacing w:before="0" w:after="0"/>
        <w:ind w:left="0" w:right="0" w:hanging="0"/>
        <w:jc w:val="both"/>
        <w:rPr>
          <w:color w:val="202020"/>
        </w:rPr>
      </w:pPr>
      <w:r>
        <w:rPr>
          <w:color w:val="202020"/>
        </w:rPr>
        <w:t>​</w:t>
      </w:r>
    </w:p>
    <w:p>
      <w:pPr>
        <w:pStyle w:val="TextBody"/>
        <w:bidi w:val="0"/>
        <w:spacing w:before="0" w:after="0"/>
        <w:ind w:left="0" w:right="0" w:firstLine="360"/>
        <w:jc w:val="both"/>
        <w:rPr>
          <w:rFonts w:ascii="Times New Roman;Times;serif" w:hAnsi="Times New Roman;Times;serif"/>
          <w:color w:val="202020"/>
          <w:sz w:val="20"/>
        </w:rPr>
      </w:pPr>
      <w:r>
        <w:rPr>
          <w:rFonts w:ascii="Times New Roman;Times;serif" w:hAnsi="Times New Roman;Times;serif"/>
          <w:color w:val="202020"/>
          <w:sz w:val="20"/>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its employees or executives during the fiscal years 2024 and 2025 without OFA’s consent or increasing the cash compensation for fiscal year 2025for certain senior officers of the Company from their compensation for fiscal year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March 4, 2025, the Company entered into the Sixth Amendment to our Credit Agreement, which extended the deadline to engage an investment banker. The Company subsequently entered into the Seventh and Eighth Amendments on March 12, 2025 and April 22, 2025, respectively, and collectively, these amendments extended the deadline to July 31, 2025. The Company retained an investment banker on July 29, 2025.</w:t>
      </w:r>
    </w:p>
    <w:p>
      <w:pPr>
        <w:pStyle w:val="TextBody"/>
        <w:bidi w:val="0"/>
        <w:spacing w:before="0" w:after="0"/>
        <w:ind w:left="0" w:right="0" w:firstLine="720"/>
        <w:jc w:val="both"/>
        <w:rPr>
          <w:color w:val="202020"/>
        </w:rPr>
      </w:pPr>
      <w:r>
        <w:rPr>
          <w:color w:val="2020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Credit Agreement contains, among other things, a covenant requiring that our audited annual financial statements included in our Annual Report be delivered without a "going concern" or like qualification or exception. On March 27, 2026, we entered into the Ninth Amendment to Credit Agreement and Guaranty (the “Ninth Amendment”). Pursuant to the Ninth Amendment, the Lenders agreed to (i) waive the Credit Agreement’s covenant that the report and opinion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Company will receive from its independent registered public accounting firm with respect to the financial statements for the year ending December 31, 2025 will not contain a “going concern” or similar qualification, and (ii) reduce the Credit Agreement’s minimum liquidity covenant to require minimum cash liquidity of $12.50 million from and after March 31, 2026 (instead of $15.0 million).</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Ninth Amendment’s effectiveness is subject to various customary conditions precedent, as well as conditions subsequent requiring the Company to:</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before March 31, 2026, make a one-time prepayment of the principal amount of $2.50 million, together with accrued and unpaid interest thereon; </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either (i) pay to the Lenders an amendment fee in cash in an amount equal to approximately $2.0 million or (ii) grant new warrants to the Lenders to purchase 1,353,729 shares of common stock of the Company, at an exercise price of $0.01 per share (the “New Warrants”); and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receipt by the Company of any gross cash proceeds from (i) the issuance of the Company’s common stock, warrants and/or pre-funded warrants, (ii) non-refundable cash consideration from partnering transactions entered into after the effective date of the fifth amendment to the Credit Agreement, (iii) the issuance of the Company’s subordinated debt and/or (iv) sales by the Company of its assets, in each case ((i) through (iv)), in transactions permitted under the Credit Agreement, make a prepayment of the loans under the Credit Agreement in an aggregate principal amount equal to 50% of such gross cash proceeds, together with accrued interest thereon and any fees or premia (including prepayment premium) payable in connection therewith; provided, that the foregoing requirement will not apply (A) with respect to the first $2.50 million in the aggregate of proceeds raised from Capital Raise Activities (as defined in the Credit Agreement) and (B) once the aggregate principal amount of the Loans prepaid pursuant to one or more Capital Raise Prepayments equals $2.50 million.</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date of issuance of the New Warrants, if applicable, the Company agreed to amend and restate its Third Amended and Restated Registration Rights Agreement with the Lenders, dated November 25, 2024. Pursuant to such amendment and restatement (the “Fourth Amended and Restated Registration Rights Agreement”), the Company will agree to register the shares of common stock issuable under the New Warrants, in addition to all warrants previously issued to the Lenders, for resale.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02020"/>
          <w:sz w:val="20"/>
        </w:rPr>
        <w:t xml:space="preserve">As of December 31, 2025, the Company had aggregate principal indebtedness of $112,156 outstanding under the Credit Agreement. On March 31, 2026, the Company is required to make (i) the required payment </w:t>
      </w:r>
      <w:r>
        <w:rPr>
          <w:rFonts w:ascii="Times New Roman;Times;serif" w:hAnsi="Times New Roman;Times;serif"/>
          <w:sz w:val="20"/>
        </w:rPr>
        <w:t>of $9,252, representing an amortization payment of 5.0% of the principal amount of funded loans, together with accrued and unpaid interest and a portion of the prepayment fee and (ii) one-time prepayment of the principal amount of $2,500 in connection with the Ninth Amendment.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color w:val="202020"/>
          <w:sz w:val="20"/>
        </w:rPr>
      </w:pPr>
      <w:r>
        <w:rPr>
          <w:rFonts w:ascii="Times New Roman;Times;serif" w:hAnsi="Times New Roman;Times;serif"/>
          <w:b/>
          <w:color w:val="202020"/>
          <w:sz w:val="20"/>
        </w:rPr>
        <w:t xml:space="preserve">Company Warrants and Registration Rights Agreement </w:t>
      </w:r>
    </w:p>
    <w:p>
      <w:pPr>
        <w:pStyle w:val="TextBody"/>
        <w:bidi w:val="0"/>
        <w:spacing w:before="0" w:after="0"/>
        <w:ind w:left="0" w:right="0" w:firstLine="720"/>
        <w:jc w:val="both"/>
        <w:rPr>
          <w:color w:val="202020"/>
        </w:rPr>
      </w:pPr>
      <w:r>
        <w:rPr>
          <w:color w:val="202020"/>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Also, in connection with the closing of the Fifth Amendment, the Company agreed to, substantially concurrently with the closing of Raise 1, grant new warrants to the Lenders to purchase an aggregate of 313 shares of common stock, at an exercise price of $0.16 per share (the “New Warrants”). During the nine months ended September 30, 2025, the Company issued 284 shares of Common Stock in connection with the cashless exercises of the 313 New Warrants.</w:t>
      </w:r>
    </w:p>
    <w:p>
      <w:pPr>
        <w:pStyle w:val="TextBody"/>
        <w:bidi w:val="0"/>
        <w:spacing w:before="0" w:after="0"/>
        <w:ind w:left="0" w:right="0" w:firstLine="360"/>
        <w:jc w:val="both"/>
        <w:rPr>
          <w:rFonts w:ascii="Times New Roman;Times;serif" w:hAnsi="Times New Roman;Times;serif"/>
          <w:color w:val="202020"/>
          <w:sz w:val="20"/>
        </w:rPr>
      </w:pPr>
      <w:r>
        <w:rPr>
          <w:rFonts w:ascii="Times New Roman;Times;serif" w:hAnsi="Times New Roman;Times;serif"/>
          <w:color w:val="202020"/>
          <w:sz w:val="20"/>
        </w:rPr>
        <w:t xml:space="preserve">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color w:val="202020"/>
          <w:sz w:val="20"/>
        </w:rPr>
      </w:pPr>
      <w:r>
        <w:rPr>
          <w:rFonts w:ascii="Times New Roman;Times;serif" w:hAnsi="Times New Roman;Times;serif"/>
          <w:color w:val="202020"/>
          <w:sz w:val="20"/>
        </w:rPr>
        <w:t xml:space="preserve">common stock on the Nasdaq Capital Market during the 30 trading days preceding Raise 1 (such existing warrants, as amended and restated, the “Original Warrants”). The Original Warrants provide the Lenders with the right to purchase a total of 28 shares of common stock of the Company. </w:t>
      </w:r>
    </w:p>
    <w:p>
      <w:pPr>
        <w:pStyle w:val="TextBody"/>
        <w:bidi w:val="0"/>
        <w:spacing w:before="0" w:after="0"/>
        <w:ind w:left="0" w:right="0" w:hanging="0"/>
        <w:jc w:val="both"/>
        <w:rPr>
          <w:color w:val="202020"/>
        </w:rPr>
      </w:pPr>
      <w:r>
        <w:rPr>
          <w:color w:val="202020"/>
        </w:rPr>
        <w:t>​</w:t>
      </w:r>
    </w:p>
    <w:p>
      <w:pPr>
        <w:pStyle w:val="TextBody"/>
        <w:bidi w:val="0"/>
        <w:spacing w:before="0" w:after="0"/>
        <w:ind w:left="0" w:right="0" w:firstLine="360"/>
        <w:jc w:val="both"/>
        <w:rPr>
          <w:rFonts w:ascii="Times New Roman;Times;serif" w:hAnsi="Times New Roman;Times;serif"/>
          <w:color w:val="202020"/>
          <w:sz w:val="20"/>
        </w:rPr>
      </w:pPr>
      <w:r>
        <w:rPr>
          <w:rFonts w:ascii="Times New Roman;Times;serif" w:hAnsi="Times New Roman;Times;serif"/>
          <w:color w:val="202020"/>
          <w:sz w:val="20"/>
        </w:rPr>
        <w:t>We entered into a registration rights agreement with the Lenders in connection with the original closing of the Credit Agreement, which has been amended and restated since in connection with each issuance of additional warrants to the Lenders, including most recently, in connection with the Fifth Amendment (as so amended and restated the “Amended and Restated Registration Rights Agreement”). Pursuant to the Amended and Restated Registration Rights Agreement, we have filed registration statements on Form S-3 to register the shares issuable upon exercise of the Original Warrants and the New Warrants for resale. The maximum shares of our common stock issuable under the Original Warrants and the New Warrants is 366.</w:t>
      </w:r>
    </w:p>
    <w:p>
      <w:pPr>
        <w:pStyle w:val="TextBody"/>
        <w:bidi w:val="0"/>
        <w:spacing w:before="0" w:after="0"/>
        <w:ind w:left="0" w:right="0" w:firstLine="720"/>
        <w:jc w:val="both"/>
        <w:rPr>
          <w:color w:val="202020"/>
        </w:rPr>
      </w:pPr>
      <w:r>
        <w:rPr>
          <w:color w:val="2020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pStyle w:val="TextBody"/>
        <w:bidi w:val="0"/>
        <w:spacing w:before="0" w:after="0"/>
        <w:ind w:left="0" w:right="0" w:hanging="0"/>
        <w:jc w:val="both"/>
        <w:rPr>
          <w:color w:val="202020"/>
        </w:rPr>
      </w:pPr>
      <w:r>
        <w:rPr>
          <w:color w:val="202020"/>
        </w:rPr>
        <w: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See Note 9, </w:t>
      </w:r>
      <w:r>
        <w:rPr>
          <w:rFonts w:ascii="Times New Roman;Times;serif" w:hAnsi="Times New Roman;Times;serif"/>
          <w:i/>
          <w:sz w:val="20"/>
        </w:rPr>
        <w:t>Debt and Credit Facilities</w:t>
      </w:r>
      <w:r>
        <w:rPr>
          <w:rFonts w:ascii="Times New Roman;Times;serif" w:hAnsi="Times New Roman;Times;serif"/>
          <w:sz w:val="20"/>
        </w:rPr>
        <w:t xml:space="preserve"> and Note 20, </w:t>
      </w:r>
      <w:r>
        <w:rPr>
          <w:rFonts w:ascii="Times New Roman;Times;serif" w:hAnsi="Times New Roman;Times;serif"/>
          <w:i/>
          <w:sz w:val="20"/>
        </w:rPr>
        <w:t>Subsequent Events</w:t>
      </w:r>
      <w:r>
        <w:rPr>
          <w:rFonts w:ascii="Times New Roman;Times;serif" w:hAnsi="Times New Roman;Times;serif"/>
          <w:sz w:val="20"/>
        </w:rPr>
        <w:t xml:space="preserve"> in the notes to consolidated financial statements included elsewhere in this Annual Report on Form 10-K for additional information relating to the Credit Agreement and RIFA, including applicable interest rates, payment obligations and certain restrictive and financial covenants thereunder. As of December 31, 2025, we were in compliance with all restrictive and financial covenants under the Credit Agreement.</w:t>
      </w:r>
    </w:p>
    <w:p>
      <w:pPr>
        <w:pStyle w:val="TextBody"/>
        <w:shd w:fill="FFFFFF" w:val="clear"/>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March 2025 Registered Direct Offering </w:t>
      </w:r>
    </w:p>
    <w:p>
      <w:pPr>
        <w:pStyle w:val="TextBody"/>
        <w:shd w:fill="FFFFFF" w:val="clear"/>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3, 2025, the Company entered into a purchase agreement (the “March 2025 Offering”) pursuant to which the Company agreed to issue and sell an aggregate of (i) 188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The Pre-Funded Warrants have an exercise price per share of common stock equal to $0.001 per share. For the year ended December 31, 2025, all 3,812 Pre-Funded Warrants were exercised and the same number of common stock were issued in exchange for $4 of proceeds. For the year ended December 31, 2025, 2,300 of the March 2025 Accompanying Warrants were exercised and the same number of common stock were issued in exchange for $9,660 of proceeds. </w:t>
      </w:r>
    </w:p>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ATM Program - Canaccord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April 2025, we entered into an Equity Distribution Agreement with Canaccord to sell shares of the Company’s common stock, with aggregate gross sales proceeds of up to $8,135, from time to time, through an “at the market” equity offering program under which Canaccord will act as sales agent.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August 2025, the Company increased the maximum amount of shares that are eligible to be sold pursuant to the Equity Distribution Agreement to allow for the offer and sale of up to an additional $3,500 of its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Following the sale of common stock under the Equity Distribution Agreement in August 2025, the Company raised sufficient net proceeds to satisfy the Raise 3 requirement under the Fifth Amendment to the Credit Agreement.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August 2025, the Company again increased the maximum amount of shares that are eligible to be sold pursuant to the Equity Distribution Agreement to allow for the offer and sale of up to $80,000 shares of common stock pursuant to the Equity Distribution Agreement. For the year ended December 31, 2025, the Company sold 12,087 shares for gross proceeds of $34,476 and received proceeds of $33,670, net of issuance costs of $806.</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Subsequent to December 31, 2025, the Company sold 245 shares for gross proceeds of $498 and received proceeds of $488, net of issuance costs of $10.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March 2026 Offering and Warrant Amendment</w:t>
      </w:r>
    </w:p>
    <w:p>
      <w:pPr>
        <w:pStyle w:val="TextBody"/>
        <w:shd w:fill="FFFFFF" w:val="clear"/>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On March 10, 2026, we entered into a securities purchase agreement (the “March 2026 Offering”) with the purchaser named therein (the “Purchaser”). Pursuant to the March 2026 Offering, we agreed to issue and sell to the Purchaser and the Purchaser agreed to buy in a registered direct offering (i) an aggregate of 2,480 shares (the “Shares”) of common stock, par value $0.001 per share (“Common Stock”) and accompanying warrants to purchase up to 2,480 shares of Common Stock at a combined offering price of $1.739 per Share and accompanying warrant, and (ii) Pre-Funded warrants to purchase up to 2,020 shares of Common Stock and accompanying warrants to purchase up to 2,020 shares of Common Stock, at a combined offering price of $1.738 per share underlying the Pre-Funded Warrants and accompanying warrant, which equals the offering price per Share and accompanying warrant less the $0.001 exercise price per share of the Pre-Funded Warrants, pursuant to our effective registration statement on Form S-3 (File No. 333-275261), including the base prospectus included therein, and a prospectus supplement filed with the Securities and Exchange Commission on March 10, 2026. The accompanying warrants have an exercise price of $1.614 per share, are immediately exercisable upon issuance, and will expire on the five-year anniversary of the date of issuance.</w:t>
      </w:r>
    </w:p>
    <w:p>
      <w:pPr>
        <w:pStyle w:val="TextBody"/>
        <w:bidi w:val="0"/>
        <w:spacing w:before="0" w:after="240"/>
        <w:ind w:left="0" w:right="0" w:firstLine="360"/>
        <w:jc w:val="left"/>
        <w:rPr/>
      </w:pPr>
      <w:r>
        <w:rPr/>
        <w:t> </w:t>
      </w:r>
      <w:r>
        <w:rPr>
          <w:rFonts w:ascii="Times New Roman;Times;serif" w:hAnsi="Times New Roman;Times;serif"/>
          <w:b w:val="false"/>
          <w:sz w:val="20"/>
        </w:rPr>
        <w:t>The March 2026 Offering closed on March 11, 2026. We received aggregate gross proceeds of approximately $7,825, before deducting placement agent fees and estimated offering expenses payable by us.</w:t>
      </w:r>
    </w:p>
    <w:p>
      <w:pPr>
        <w:pStyle w:val="TextBody"/>
        <w:bidi w:val="0"/>
        <w:spacing w:before="0" w:after="240"/>
        <w:ind w:left="0" w:right="0" w:firstLine="360"/>
        <w:jc w:val="left"/>
        <w:rPr/>
      </w:pPr>
      <w:r>
        <w:rPr/>
        <w:t> </w:t>
      </w:r>
      <w:r>
        <w:rPr>
          <w:rFonts w:ascii="Times New Roman;Times;serif" w:hAnsi="Times New Roman;Times;serif"/>
          <w:b w:val="false"/>
          <w:sz w:val="20"/>
        </w:rPr>
        <w:t>Rodman &amp; Renshaw LLC (the “Placement Agent”) acted as our exclusive placement agent in connection with the March 2026 Offering. As compensation in connection with the March 2026 Offering, we agreed to pay the Placement Agent a cash fee equal to 6.0% of the gross proceeds from the March 2026 Offering, and issue to the Placement Agent or its designees warrants to purchase a number of shares of Common Stock equal to 4.0% of the aggregate number of shares placed in the Registered Direct Offering (180,031 shares), at an exercise price equal to 125% of the offering price per share (or $2.0175 per share), with a term of five years from the commencement of the Registered Direct Offering (the “Placement Agent Warrants”). We also agreed to reimburse the Placement Agent for certain expenses in an amount of up to $75 and to pay up to $16 for clearing and closing expenses.</w:t>
      </w:r>
    </w:p>
    <w:p>
      <w:pPr>
        <w:pStyle w:val="TextBody"/>
        <w:bidi w:val="0"/>
        <w:spacing w:before="0" w:after="240"/>
        <w:ind w:left="0" w:right="0" w:firstLine="360"/>
        <w:jc w:val="left"/>
        <w:rPr/>
      </w:pPr>
      <w:r>
        <w:rPr/>
        <w:t> </w:t>
      </w:r>
      <w:r>
        <w:rPr>
          <w:rFonts w:ascii="Times New Roman;Times;serif" w:hAnsi="Times New Roman;Times;serif"/>
          <w:b w:val="false"/>
          <w:sz w:val="20"/>
        </w:rPr>
        <w:t>In connection with the March 2026 Offering, pursuant to the terms of a Warrant Amendment Agreement, dated as of March 10, 2026 (the “Warrant Amendment Agreement”), the exercise price of certain outstanding warrants issued on March 27, 2024 and November 25, 2024 to purchase up to an aggregate of 1,385 shares of Common Stock held by the Purchaser was reduced to $1.614 per share, equal to the exercise price of the Accompanying Warrants issued in the March 2026 Offering, and the term of such warrants was extended to five years following the closing date of the March 2026 Offering. The investor paid approximately $173 in exchange for the reduction in exercise price and the extension of the term of these warrants. We paid the Placement Agent a cash fee of 6.0% of the gross proceeds paid for the warrant amendment.</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Cash Flows</w:t>
      </w:r>
    </w:p>
    <w:tbl>
      <w:tblPr>
        <w:tblW w:w="5122" w:type="dxa"/>
        <w:jc w:val="left"/>
        <w:tblInd w:w="0" w:type="dxa"/>
        <w:tblLayout w:type="fixed"/>
        <w:tblCellMar>
          <w:top w:w="0" w:type="dxa"/>
          <w:left w:w="0" w:type="dxa"/>
          <w:bottom w:w="0" w:type="dxa"/>
          <w:right w:w="0" w:type="dxa"/>
        </w:tblCellMar>
      </w:tblPr>
      <w:tblGrid>
        <w:gridCol w:w="2371"/>
        <w:gridCol w:w="346"/>
        <w:gridCol w:w="211"/>
        <w:gridCol w:w="796"/>
        <w:gridCol w:w="346"/>
        <w:gridCol w:w="211"/>
        <w:gridCol w:w="84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05585" cy="175260"/>
                      <wp:effectExtent l="0" t="0" r="0" b="0"/>
                      <wp:wrapNone/>
                      <wp:docPr id="41" name="Frame37"/>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3"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05460" cy="175260"/>
                      <wp:effectExtent l="0" t="0" r="0" b="0"/>
                      <wp:wrapNone/>
                      <wp:docPr id="44" name="Frame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6"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34035" cy="175260"/>
                      <wp:effectExtent l="0" t="0" r="0" b="0"/>
                      <wp:wrapNone/>
                      <wp:docPr id="47" name="Frame4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provided by: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(72,027)</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36,660</w:t>
            </w:r>
          </w:p>
        </w:tc>
      </w:tr>
    </w:tbl>
    <w:p>
      <w:pPr>
        <w:pStyle w:val="TextBody"/>
        <w:bidi w:val="0"/>
        <w:spacing w:before="0" w:after="0"/>
        <w:ind w:left="0" w:right="0" w:hanging="0"/>
        <w:jc w:val="left"/>
        <w:rPr/>
      </w:pPr>
      <w:r>
        <w:rPr/>
        <w:t>​</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for the year ended December 31, 2025 was $57,615 and was primarily attributable to our net loss of $69,897 and an increase of $8,156 in prepaid expenses, other current assets and other assets, offset by a $6,973 increase in accounts payable, accrued expenses, due to related parties, and other current liabilities, $5,434 in payable in kind interest on our credit agreement, a $3,505 decrease in the change in fair value of our derivative liability, and $2,767 in non-cash stock-based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Net cash used in operating activities for the year ended December 31, 2024 was $72,027 and was primarily attributable to our net loss of $59,599, a $20,180 increase in the change in fair value of our derivative liability, a $4,327 decrease in accounts payable, accrued expenses, due to related parties, and other current liabilities, and a $1,872 increase in prepaid expenses, other current assets and other assets, offset by $6,543 in payable in kind interest on our credit agreement and $6,156 in non-cash stock-based compensation.</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Net cash used in investing activities for the years ended December 31, 2025 and 2024, respectively was $0 and $0.</w:t>
      </w:r>
    </w:p>
    <w:p>
      <w:pPr>
        <w:pStyle w:val="TextBody"/>
        <w:bidi w:val="0"/>
        <w:spacing w:before="0" w:after="200"/>
        <w:ind w:left="45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for the year ended December 31, 2025, was $56,518 and was primarily attributable to net proceeds of $12,957 received from the March 2025 registered direct offering, net proceeds from the sale of common stock under the Equity Distribution Agreement with Canaccord of $33,670, and net proceeds from the exercise of warrants of $9,660.</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for the year ended December 31, 2024, was $36,660 and was primarily attributable to net proceeds of $39,214 from the sale of common stock under public offerings and the Sale Agreement with Jefferies, less a debt principal payment of $2,500.</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Operating Capital and Capital Expenditure Requirements</w:t>
      </w:r>
    </w:p>
    <w:p>
      <w:pPr>
        <w:pStyle w:val="TextBody"/>
        <w:bidi w:val="0"/>
        <w:spacing w:lineRule="auto" w:line="240" w:before="0" w:after="200"/>
        <w:ind w:left="0" w:right="0" w:firstLine="360"/>
        <w:jc w:val="left"/>
        <w:rPr>
          <w:rFonts w:ascii="Times New Roman;Times;serif" w:hAnsi="Times New Roman;Times;serif"/>
          <w:b/>
          <w:sz w:val="20"/>
        </w:rPr>
      </w:pPr>
      <w:r>
        <w:rPr>
          <w:rFonts w:ascii="Times New Roman;Times;serif" w:hAnsi="Times New Roman;Times;serif"/>
          <w:b w:val="false"/>
          <w:sz w:val="20"/>
        </w:rPr>
        <w:t>We expect to continue to incur significant and increasing operating losses at least for the next several years as we commercialize IGALMI</w:t>
      </w:r>
      <w:r>
        <w:rPr>
          <w:rFonts w:ascii="Times New Roman;Times;serif" w:hAnsi="Times New Roman;Times;serif"/>
          <w:b/>
          <w:sz w:val="15"/>
        </w:rPr>
        <w:t>®</w:t>
      </w:r>
      <w:r>
        <w:rPr>
          <w:rFonts w:ascii="Times New Roman;Times;serif" w:hAnsi="Times New Roman;Times;serif"/>
          <w:b/>
          <w:sz w:val="20"/>
        </w:rPr>
        <w:t xml:space="preserve"> </w:t>
      </w:r>
      <w:r>
        <w:rPr>
          <w:rFonts w:ascii="Times New Roman;Times;serif" w:hAnsi="Times New Roman;Times;serif"/>
          <w:b w:val="false"/>
          <w:sz w:val="20"/>
        </w:rPr>
        <w:t>and as we expand our clinical trials of and seek marketing approval focused on BXCL501 while pursuing development of additional product candidates for BXCL701. We expect to continue to incur net losses in the near term. Our net losses may fluctuate significantly from quarter-to-quarter and year-to-year, depending on the timing of our planned clinical trials and our expenditures on other research and development activities.</w:t>
      </w:r>
    </w:p>
    <w:p>
      <w:pPr>
        <w:pStyle w:val="TextBody"/>
        <w:bidi w:val="0"/>
        <w:spacing w:before="0" w:after="200"/>
        <w:ind w:left="0" w:right="0" w:firstLine="360"/>
        <w:jc w:val="left"/>
        <w:rPr>
          <w:rFonts w:ascii="Times New Roman;Times;serif" w:hAnsi="Times New Roman;Times;serif"/>
          <w:b w:val="false"/>
          <w:sz w:val="20"/>
        </w:rPr>
      </w:pPr>
      <w:r>
        <w:rPr>
          <w:rFonts w:ascii="Times New Roman;Times;serif" w:hAnsi="Times New Roman;Times;serif"/>
          <w:b w:val="false"/>
          <w:sz w:val="20"/>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our clinical development of our product candidates;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additional research and development with our product candidates;</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identify, acquire, license, develop and commercialize product candidates;</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acquired technologies into a comprehensive regulatory and product development strategy;</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scientific, clinical, quality control and administrative personnel and utilize professional services, including consultants, lawyers, and accountants;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drug development and commercial efforts;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approvals for any product candidates that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fully develop a sales, marketing and distribution infrastructure and scale up external manufacturing capabilities to commercialize IGALMI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any product candidates for which we may obtain regulatory approval; and</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as a public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believe that our existing cash, cash equivalents and restricted cash as of December 31, 2025 will not be sufficient to enable us to fund operating expenses and capital expenditure requirements for at least the next 12 months from the date of the issuance of the consolidated financial statements included in this Annual Report on Form 10-K, including funding our ongoing research and development and commercialization efforts. In particular, we believe that our cash, cash equivalents and restricted cash of $28,757 as of December 31, 2025 plus the additional capital raised subsequent to December 31, 2025 will allow us to fund our operations and meet our liquidity requirements into the second quarter of 2026.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Under the terms of the Ninth Amendment, following receipt of aggregated gross proceeds from (a) the issuance of the Company’s common stock, warrants and/or pre-funded warrants, (b) non-refundable cash consideration from partnering transactions, (c) the issuance of the Company’s subordinated debt and/or (d) sales by the Company of its assets, in each case ((a) through (d)), in transactions permitted under the Credit Agreement (“Capital Raise Activities”), make a prepayment of the loans under the Credit Agreement in an aggregate principal amount equal to 50% of such gross cash proceeds, together with accrued interest thereon and any fees or premia (including prepayment premium) payable in connection therewith; provided that such prepayment requirement shall not be applicable (A) with respect to the first $2.5 million gross proceeds received from Capital Raise Activities and (B) once the aggregate principal amount of the prepaid pursuant to one or more of such prepayments equals $2.5 million.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To date, we have continued research and development activities while managing our cash position. However,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w:t>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July 2024, the Company signed an amendment to its commercial supply agreement that requires minimum annual payments for the first five years of the agreement ending in 2026 that in aggregate total $10,000. The Company has met the minimum requirements for the first 4 years ending in 2025. The remaining minimum commitments for year 5 (2026) is $2,000.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February 2022, we signed a distribution agreement with a third 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termination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$65 of payments remaining under the HQ Lease. For additional details, see Note 13, </w:t>
      </w:r>
      <w:r>
        <w:rPr>
          <w:rFonts w:ascii="Times New Roman;Times;serif" w:hAnsi="Times New Roman;Times;serif"/>
          <w:i/>
          <w:sz w:val="20"/>
        </w:rPr>
        <w:t>Leases</w:t>
      </w:r>
      <w:r>
        <w:rPr>
          <w:rFonts w:ascii="Times New Roman;Times;serif" w:hAnsi="Times New Roman;Times;serif"/>
          <w:sz w:val="20"/>
        </w:rPr>
        <w:t xml:space="preserve"> in the notes to consolidated financial statements included in this Annual Report on Form 10-K for additional information relating to the Company’s 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addition, we are obligated to make quarterly interest payments under our Credit Agreement. For additional details, see Note 9, </w:t>
      </w:r>
      <w:r>
        <w:rPr>
          <w:rFonts w:ascii="Times New Roman;Times;serif" w:hAnsi="Times New Roman;Times;serif"/>
          <w:i/>
          <w:sz w:val="20"/>
        </w:rPr>
        <w:t>Debt and Credit Facilities</w:t>
      </w:r>
      <w:r>
        <w:rPr>
          <w:rFonts w:ascii="Times New Roman;Times;serif" w:hAnsi="Times New Roman;Times;serif"/>
          <w:sz w:val="20"/>
        </w:rPr>
        <w:t xml:space="preserve"> in the notes to consolidated financial statements included in this Annual Report on Form 10-K for additional information relating to the Company’s debt payment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20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preparation of our consolidated financial statements in conformity with U.S.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consolidated financial statements.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an ongoing basis, we evaluate our estimates and judgments. We base our estimates and judgments on a variety of factors including our historical experience, knowledge of our business and industry, current and expected economic conditions, the attributes of our products and the regulatory environment. We periodically re-evaluate our estimates and assumptions with respect to these judgments and modify our approach when circumstances indicate that modifications are necessary.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define critical accounting policies as those that are reflective of significant judgments and uncertainty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are noted below.</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Stock Compensation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has granted stock options, restricted stock units and profit units to employees, directors, and consultants, as well as warrants to other third parties. The fair value of restricted stock units is estimated on the date of grant and is equal to the closing market price per share of our common stock on that date. For employee, director and consultant stock options, profit units and warrants, the value of each grant is estimated on the date of grant using a Black-Scholes option-pricing model. The Black-Scholes pricing model incorporates the volatility of the price of BTI’s stock, the risk-free interest rate, the estimated life of the award, the closing market price of the Company’s stock and the exercise price of the award. Management bases the Company’s estimates of stock price volatility on the historical volatility of the Company’s common stock. However, these estimates are neither predictive nor indicative of the future performance of the Company’s stock. For purposes of the calculation, management assumed that no dividends would be paid during the life of the stock awards. The estimates utilized in the Black-Scholes calculation involve inherent uncertainties and the application of management judgment.</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Research and Development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part of the process of preparing the Company’s consolidated financial statements, BTI’s management is required to estimate prepaid and accrued expenses, including research and development expenses. This process involves reviewing open contracts, communicating with personnel to identify services that have been performed on behalf of the Company and estimating the level of service performed and the associated cost incurred for the service when BTI has not yet been invoiced or otherwise notified of the actual cost. The majority of the Company’s service providers invoice BTI monthly for services performed or when contractual milestones are met. BTI management makes estimates of prepaid and/or accrued expenses, including research and development expenses, as of each reporting date in the Company’s consolidated financial statements based on facts and circumstances known to management at that time. BTI periodically confirms the accuracy of its estimates with the service providers and makes adjustments, if necessary. Examples of estimated accrued research and development expenses include fees paid to contract research organizations (“CROs”) in connection with clinical studies, amounts paid to contract manufacturing organizations, and fees paid to sites in connection with clinical trials.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bases its expenses related to clinical studies on management’s estimates of the services received and efforts expended pursuant to contracts with multiple CROs that conduct and manage clinical trial studies on our behalf.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financial terms of these agreements are subject to an initial negotiation, vary from contract to contract and may result in uneven payment flows. There may be instances in which payments made to vendors exceed the level of services provided and result in a prepayment of the clinical expense. Payments under some of these contracts depend on factors such as the successful enrollment of patients and the completion of clinical trial milestones. In accruing certain service fees, BTI management estimates the time period over which services will be performed, enrollment of patients, number of sites activated and the level of effort to be expended in each period. If the actual timing of the performance of services or the level of effort varies from management’s estimate, management will adjust the accrual or prepaid accordingly. Although the Company does not expect management’s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pStyle w:val="TextBody"/>
        <w:bidi w:val="0"/>
        <w:spacing w:before="0" w:after="200"/>
        <w:ind w:left="0" w:right="0" w:hanging="0"/>
        <w:jc w:val="left"/>
        <w:rPr>
          <w:rFonts w:ascii="Times New Roman;Times;serif" w:hAnsi="Times New Roman;Times;serif"/>
          <w:b/>
          <w:sz w:val="20"/>
        </w:rPr>
      </w:pPr>
      <w:bookmarkStart w:id="57" w:name="Item7AQuantitativeandQualitativeDisclosu"/>
      <w:bookmarkStart w:id="58" w:name="_941ce9c6_627e_4737_960e_2585d3fdbb52"/>
      <w:bookmarkEnd w:id="57"/>
      <w:bookmarkEnd w:id="58"/>
      <w:r>
        <w:rPr>
          <w:rFonts w:ascii="Times New Roman;Times;serif" w:hAnsi="Times New Roman;Times;serif"/>
          <w:b/>
          <w:sz w:val="20"/>
        </w:rPr>
        <w:t>Item 7A. Quantitative and Qualitative Disclosures about Market Risk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Foreign Exchange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December 31, 2025 and March 26, 2026, we had $28,757 and $28,862 of cash, cash equivalents and restricted cash, respectively. Our cash and cash equivalents are primarily held in U.S. Government money market funds. We do not participate in any foreign currency hedging activities and have limited exposure to other derivative financial instruments, primarily resulting from the terms and conditions of the Credit Agreement. We did not recognize any significant exchange rate losses during the years ended December 31, 2025 and 2024,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loans under the Credit Agreement bear interest at a fixed rate of 13% payable quarterly. Consequently, we have material interest rate exposure due to our indebtedness if market rates drop in the future.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Capital Market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r>
        <w:rPr>
          <w:rFonts w:ascii="Times New Roman;Times;serif" w:hAnsi="Times New Roman;Times;serif"/>
          <w:sz w:val="20"/>
          <w:shd w:fill="FFFFFF" w:val="clear"/>
        </w:rPr>
        <w:t>.</w:t>
      </w:r>
    </w:p>
    <w:p>
      <w:pPr>
        <w:pStyle w:val="TextBody"/>
        <w:bidi w:val="0"/>
        <w:spacing w:before="0" w:after="200"/>
        <w:ind w:left="0" w:right="0" w:hanging="0"/>
        <w:jc w:val="left"/>
        <w:rPr>
          <w:rFonts w:ascii="Times New Roman;Times;serif" w:hAnsi="Times New Roman;Times;serif"/>
          <w:b/>
          <w:sz w:val="20"/>
        </w:rPr>
      </w:pPr>
      <w:bookmarkStart w:id="59" w:name="Item8FinancialStatementsandSupplementary"/>
      <w:bookmarkStart w:id="60" w:name="_662f582e_e5da_444c_adb2_e3d5fbd86b26"/>
      <w:bookmarkEnd w:id="59"/>
      <w:bookmarkEnd w:id="60"/>
      <w:r>
        <w:rPr>
          <w:rFonts w:ascii="Times New Roman;Times;serif" w:hAnsi="Times New Roman;Times;serif"/>
          <w:b/>
          <w:sz w:val="20"/>
        </w:rPr>
        <w:t>Item 8. Financial Statements and Supplementary Data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financial statements required pursuant to this item and the related report of our independent auditor are included in Item 15 of this report beginning on page F-1 and are incorporated under this Item by reference. Our independent auditor for the years ended December 31, 2025 and 2024 was Ernst &amp; Young LLP (PCAOB ID: 42), located in Stamford, Connecticut, USA.</w:t>
      </w:r>
    </w:p>
    <w:p>
      <w:pPr>
        <w:pStyle w:val="TextBody"/>
        <w:bidi w:val="0"/>
        <w:spacing w:before="0" w:after="200"/>
        <w:ind w:left="0" w:right="0" w:hanging="0"/>
        <w:jc w:val="left"/>
        <w:rPr>
          <w:rFonts w:ascii="Times New Roman;Times;serif" w:hAnsi="Times New Roman;Times;serif"/>
          <w:b/>
          <w:sz w:val="20"/>
        </w:rPr>
      </w:pPr>
      <w:bookmarkStart w:id="61" w:name="Item9ChangesinandDisagreementswithAccoun"/>
      <w:bookmarkStart w:id="62" w:name="_58e3b3be_0fde_45d1_9287_843131a13d2f"/>
      <w:bookmarkEnd w:id="61"/>
      <w:bookmarkEnd w:id="62"/>
      <w:r>
        <w:rPr>
          <w:rFonts w:ascii="Times New Roman;Times;serif" w:hAnsi="Times New Roman;Times;serif"/>
          <w:b/>
          <w:sz w:val="20"/>
        </w:rPr>
        <w:t>Item 9. Changes in and Disagreements with Accountants on Accounting and Financial Disclosure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63" w:name="Item9AControlsandProcedures_710755"/>
      <w:bookmarkStart w:id="64" w:name="_f5424cbc_d0b2_471a_831a_c9a3bcddb443"/>
      <w:bookmarkEnd w:id="63"/>
      <w:bookmarkEnd w:id="64"/>
      <w:r>
        <w:rPr>
          <w:rFonts w:ascii="Times New Roman;Times;serif" w:hAnsi="Times New Roman;Times;serif"/>
          <w:b/>
          <w:sz w:val="20"/>
        </w:rPr>
        <w:t>Item 9A. Controls and Procedures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December 31,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Controls Over Financial Reporting</w:t>
      </w:r>
    </w:p>
    <w:p>
      <w:pPr>
        <w:pStyle w:val="TextBody"/>
        <w:bidi w:val="0"/>
        <w:spacing w:before="0" w:after="20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Our management, with the participation of our Chief Executive Officer and Chief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2025, our internal control over financial reporting was effective.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shd w:fill="FFFFFF" w:val="clear"/>
        </w:rPr>
        <w:t>Attestation Report of the Registered Public Accounting Firm</w:t>
      </w:r>
      <w:r>
        <w:rPr>
          <w:rFonts w:ascii="Times New Roman;Times;serif" w:hAnsi="Times New Roman;Times;serif"/>
          <w:sz w:val="20"/>
        </w:rPr>
        <w:t xml:space="preserve"> </w:t>
      </w:r>
    </w:p>
    <w:p>
      <w:pPr>
        <w:pStyle w:val="TextBody"/>
        <w:bidi w:val="0"/>
        <w:spacing w:before="0" w:after="20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This Annual Report on Form 10-K does not include an attestation report of our independent registered public accounting firm on internal control over financial reporting as we are a “smaller reporting company” and “non-accelerated filer” as defined under SEC rules.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three months ended December 31, 2025,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65" w:name="Item9BOtherInformation_895714"/>
      <w:bookmarkStart w:id="66" w:name="_dc985403_dcca_4209_b133_912954cb20c4"/>
      <w:bookmarkEnd w:id="65"/>
      <w:bookmarkEnd w:id="66"/>
      <w:r>
        <w:rPr>
          <w:rFonts w:ascii="Times New Roman;Times;serif" w:hAnsi="Times New Roman;Times;serif"/>
          <w:b/>
          <w:sz w:val="20"/>
        </w:rPr>
        <w:t>Item 9B. Other Information</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Insider Trading Arrangements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On February 3, 2026, Vimal Mehta, Chief Executive Officer, adopted a Rule 10b5-1 trading arrangement that is intended to satisfy the affirmative defense of Rule 10b5-1(c) for the sale of up to 199,032 shares of the Company’s common stock to cover taxes due in connection with the vesting of restricted stock units until December 31, 2027.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On February 3, 2026, Richard Steinhart, Chief Financial Officer, adopted a Rule 10b5-1 trading arrangement that is intended to satisfy the affirmative defense of Rule 10b5-1(c) for the sale of up to 70,000 shares of the Company’s common stock to cover taxes due in connection with the vesting of restricted stock units until December 31, 2027.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On February 3, 2026, Javier Rodriguez, Senior Vice President, Chief Legal Officer, adopted a Rule 10b5-1 trading arrangement that is intended to satisfy the affirmative defense of Rule 10b5-1(c) for the sale of up to 70,000 shares of the Company’s common stock to cover taxes due in connection with the vesting of restricted stock units until December 31, 2027.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On February 3, 2026, Frank Yocca, Chief Scientific Officer, adopted a Rule 10b5-1 trading arrangement that is intended to satisfy the affirmative defense of Rule 10b5-1(c) for the sale of up to 70,000 shares of the Company’s common stock to cover taxes due in connection with the vesting of restricted stock units until December 31, 2027.</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Ninth Amendment to Credit Agreement; Company Warrants; and Registration Rights Agreement</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March 27, 2026, we entered into the Ninth Amendment to Credit Agreement and Guaranty (the “Ninth Amendment”), which amended the Credit Agreement and Guaranty, dated April 19, 2022, as amended (the “Credit Agreement”), by and among the Company, as the borrower, certain subsidiaries of the Company from time to time party thereto as subsidiary guarantors, the lenders party thereto (the “Lenders”), and Oaktree Fund Administration LLC (“OFA”) as administrative agent.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Ninth Amendment, the Lenders agreed to (i) waive the Credit Agreement’s covenant that the report and opinion the Company will receive from its independent registered public accounting firm with respect to the financial statements for the year ending December 31, 2025 will not contain a “going concern” or similar qualification, and (ii) reduce the Credit Agreement’s minimum liquidity covenant to require minimum cash liquidity of $12.50 million from and after March 31, 2026 (instead of $15.0 million).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Ninth Amendment’s effectiveness is subject to various customary conditions precedent, as well as conditions subsequent requiring the Company to:</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before March 31, 2026, make a one-time prepayment of the principal amount of $2.50 million, together with accrued and unpaid interest thereon; </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either (i) pay to the Lenders an amendment fee in cash in an amount equal to approximately $2.0 million or (ii) grant new warrants to the Lenders to purchase 1,353,729 shares of common stock of the Company, at an exercise price of $0.01 per share (the “New Warrants”); and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receipt by the Company of any gross cash proceeds following the effective date of the Ninth Amendment from (i) the issuance of the Company’s common stock, warrants and/or pre-funded warrants, (ii) non-refundable cash consideration from partnering transactions, (iii) the issuance of the Company’s subordinated debt and/or (iv) sales by the Company of its assets, in each case ((i) through (iv)), in transactions permitted under the Credit Agreement, make a prepayment of the loans under the Credit Agreement in an aggregate principal amount equal to 50% of such gross cash proceeds, together with accrued interest thereon and any fees or premia (including prepayment premium) payable in connection therewith; provided, that the foregoing requirement will not apply (A) with respect to the first $2.50 million in the aggregate of proceeds raised from Capital Raise Activities and (B) once the aggregate principal amount of the Loans prepaid pursuant to one or more Capital Raise Prepayments equals $2.50 million.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the date of issuance of the New Warrants, if applicable, we agreed to amend and restate its Third Amended and Restated Registration Rights Agreement with the Lenders, dated November 25, 2024. Pursuant to such amendment and restatement (the “Fourth Amended and Restated Registration Rights Agreement”), we will agree to register the shares of common stock issuable under the New Warrants, in addition to all warrants previously issued to the Lenders, for resale.</w:t>
      </w:r>
    </w:p>
    <w:p>
      <w:pPr>
        <w:pStyle w:val="TextBody"/>
        <w:bidi w:val="0"/>
        <w:spacing w:before="0" w:after="240"/>
        <w:ind w:left="0" w:right="0" w:firstLine="360"/>
        <w:jc w:val="left"/>
        <w:rPr>
          <w:shd w:fill="FFFF00" w:val="clear"/>
        </w:rPr>
      </w:pPr>
      <w:r>
        <w:rPr>
          <w:shd w:fill="FFFF00" w:val="clear"/>
        </w:rPr>
        <w:t>​</w:t>
      </w:r>
    </w:p>
    <w:p>
      <w:pPr>
        <w:pStyle w:val="TextBody"/>
        <w:bidi w:val="0"/>
        <w:spacing w:before="0" w:after="200"/>
        <w:ind w:left="0" w:right="0" w:hanging="0"/>
        <w:jc w:val="left"/>
        <w:rPr>
          <w:rFonts w:ascii="Times New Roman;Times;serif" w:hAnsi="Times New Roman;Times;serif"/>
          <w:b/>
          <w:sz w:val="20"/>
        </w:rPr>
      </w:pPr>
      <w:bookmarkStart w:id="67" w:name="Item9C"/>
      <w:bookmarkStart w:id="68" w:name="_ceb3fbe7_dfb5_4d6c_8472_044d799b8d6e"/>
      <w:bookmarkEnd w:id="67"/>
      <w:bookmarkEnd w:id="68"/>
      <w:r>
        <w:rPr>
          <w:rFonts w:ascii="Times New Roman;Times;serif" w:hAnsi="Times New Roman;Times;serif"/>
          <w:b/>
          <w:sz w:val="20"/>
        </w:rPr>
        <w:t>Item 9C. Disclosure Regarding Foreign Jurisdictions That Prevent Inspections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9" w:name="PARTIII_44466"/>
      <w:bookmarkStart w:id="70" w:name="_2c60a41b_5272_4508_90fc_c1647417773b"/>
      <w:bookmarkStart w:id="71" w:name="ITEM_10_DIRECTORS_EXECUTIVE_FICERS_CORPO"/>
      <w:bookmarkEnd w:id="69"/>
      <w:bookmarkEnd w:id="70"/>
      <w:bookmarkEnd w:id="71"/>
      <w:r>
        <w:rPr>
          <w:rFonts w:ascii="Times New Roman;Times;serif" w:hAnsi="Times New Roman;Times;serif"/>
          <w:b/>
          <w:sz w:val="20"/>
        </w:rPr>
        <w:t>PART III</w:t>
      </w:r>
    </w:p>
    <w:p>
      <w:pPr>
        <w:pStyle w:val="TextBody"/>
        <w:bidi w:val="0"/>
        <w:spacing w:before="0" w:after="200"/>
        <w:ind w:left="0" w:right="0" w:hanging="0"/>
        <w:jc w:val="left"/>
        <w:rPr>
          <w:rFonts w:ascii="Times New Roman;Times;serif" w:hAnsi="Times New Roman;Times;serif"/>
          <w:b/>
          <w:sz w:val="20"/>
        </w:rPr>
      </w:pPr>
      <w:bookmarkStart w:id="72" w:name="Item10DirectorsExecutiveOfficersandCorpo"/>
      <w:bookmarkEnd w:id="72"/>
      <w:r>
        <w:rPr>
          <w:rFonts w:ascii="Times New Roman;Times;serif" w:hAnsi="Times New Roman;Times;serif"/>
          <w:b/>
          <w:sz w:val="20"/>
        </w:rPr>
        <w:t>Item 10. Directors, Executive Officers, and Corporate Governance.</w:t>
      </w:r>
    </w:p>
    <w:p>
      <w:pPr>
        <w:pStyle w:val="TextBody"/>
        <w:bidi w:val="0"/>
        <w:spacing w:lineRule="auto" w:line="343" w:before="0" w:after="200"/>
        <w:ind w:left="0" w:right="0" w:hanging="0"/>
        <w:jc w:val="center"/>
        <w:rPr>
          <w:rFonts w:ascii="Times New Roman;Times;serif" w:hAnsi="Times New Roman;Times;serif"/>
          <w:b/>
          <w:sz w:val="20"/>
        </w:rPr>
      </w:pPr>
      <w:r>
        <w:rPr>
          <w:rFonts w:ascii="Times New Roman;Times;serif" w:hAnsi="Times New Roman;Times;serif"/>
          <w:b/>
          <w:sz w:val="20"/>
        </w:rPr>
        <w:t>INFORMATION ABOUT OUR DIRECTORS &amp; EXECUTIVE OFFICERS</w:t>
      </w:r>
    </w:p>
    <w:p>
      <w:pPr>
        <w:pStyle w:val="TextBody"/>
        <w:bidi w:val="0"/>
        <w:spacing w:lineRule="auto" w:line="343" w:before="0" w:after="200"/>
        <w:ind w:left="0" w:right="0" w:firstLine="360"/>
        <w:jc w:val="left"/>
        <w:rPr>
          <w:rFonts w:ascii="Times New Roman;Times;serif" w:hAnsi="Times New Roman;Times;serif"/>
          <w:sz w:val="20"/>
        </w:rPr>
      </w:pPr>
      <w:r>
        <w:rPr>
          <w:rFonts w:ascii="Times New Roman;Times;serif" w:hAnsi="Times New Roman;Times;serif"/>
          <w:sz w:val="20"/>
        </w:rPr>
        <w:t>The following information with respect to our Board of Directors (the “Board”) and executive officers is presented as of March 27, 2026:</w:t>
      </w:r>
    </w:p>
    <w:tbl>
      <w:tblPr>
        <w:tblW w:w="8961" w:type="dxa"/>
        <w:jc w:val="left"/>
        <w:tblInd w:w="0" w:type="dxa"/>
        <w:tblLayout w:type="fixed"/>
        <w:tblCellMar>
          <w:top w:w="0" w:type="dxa"/>
          <w:left w:w="0" w:type="dxa"/>
          <w:bottom w:w="0" w:type="dxa"/>
          <w:right w:w="0" w:type="dxa"/>
        </w:tblCellMar>
      </w:tblPr>
      <w:tblGrid>
        <w:gridCol w:w="1996"/>
        <w:gridCol w:w="346"/>
        <w:gridCol w:w="391"/>
        <w:gridCol w:w="346"/>
        <w:gridCol w:w="5491"/>
        <w:gridCol w:w="391"/>
      </w:tblGrid>
      <w:tr>
        <w:trPr/>
        <w:tc>
          <w:tcPr>
            <w:tcW w:w="19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54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at BioXcel</w:t>
            </w:r>
          </w:p>
        </w:tc>
        <w:tc>
          <w:tcPr>
            <w:tcW w:w="391" w:type="dxa"/>
            <w:tcBorders/>
            <w:vAlign w:val="center"/>
          </w:tcPr>
          <w:p>
            <w:pPr>
              <w:pStyle w:val="TableContents"/>
              <w:bidi w:val="0"/>
              <w:spacing w:before="0" w:after="0"/>
              <w:ind w:left="0" w:right="0" w:hanging="0"/>
              <w:jc w:val="left"/>
              <w:rPr/>
            </w:pPr>
            <w:r>
              <w:rPr/>
              <w:t>  ​ ​ ​</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Vimal Mehta, Ph.D.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 and Director</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c>
          <w:tcPr>
            <w:tcW w:w="391"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Frank Yocca, Ph.D.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Scientific Officer</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Javier Rodriguez</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Legal Officer and Corporate Secretary</w:t>
            </w:r>
          </w:p>
        </w:tc>
        <w:tc>
          <w:tcPr>
            <w:tcW w:w="391"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Mueller, Ph.D.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Bray</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91"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Sandeep Laumas, M.D.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Miller</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91"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Votruba, M.D.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Mack</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91"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Rajiv Patni, M.D.</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Business Experience and Background of Directors and Executive Officers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Vimal Mehta, Ph.D.</w:t>
      </w:r>
      <w:r>
        <w:rPr>
          <w:rFonts w:ascii="Times New Roman;Times;serif" w:hAnsi="Times New Roman;Times;serif"/>
          <w:sz w:val="20"/>
        </w:rPr>
        <w:t xml:space="preserve"> co-founded the Company and has served as a member of our Board since April 2017 and as our Chief Executive Officer and President since May 2017. Dr. Mehta also served as our Corporate Secretary from May 2017 to February 2021. He is also the co-founder of BioXcel Corporation (now BioXcel LLC) and, following its inception in 2005 until March 2023, served as its Chairman of the Board and Chief Executive Officer. Dr. Mehta holds a Ph.D. in Chemistry from the University of Delhi, India and completed a Post-Doctoral Fellowship in Chemistry at the University of Montpellier, France. During the length of his career, Dr. Mehta has garnered a deep understanding of the biopharma and healthcare ecosystem and has been actively involved in diverse global value generating initiatives encompassing corporate strategy and planning, global business development, and corporate fundraising. As our co-founder, he has helped shape our strategic and business trajectory which the Board believes qualifies him to serve as a director of our Company.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Richard I. Steinhart</w:t>
      </w:r>
      <w:r>
        <w:rPr>
          <w:rFonts w:ascii="Times New Roman;Times;serif" w:hAnsi="Times New Roman;Times;serif"/>
          <w:sz w:val="20"/>
        </w:rPr>
        <w:t xml:space="preserve"> has served as our Senior Vice President and Chief Financial Officer since March 2018. From October 2017 to March 2018, Mr. Steinhart served as our Vice President and Chief Financial Officer. From October 2015 to June 2017, he was Vice President and CFO at Remedy Pharmaceuticals, Inc. From January 2014 to September 2015 Mr. Steinhart worked as a financial and strategic consultant to the biotechnology and medical device industries. From April 2006 through December 2013, Mr. Steinhart was employed by MELA Sciences, Inc., as their Vice President, Finance and Chief Financial Officer, Treasurer and Secretary from April 2006 to April 2012 and as Sr. Vice President, Finance and Chief Financial Officer from April 2012 to December 2013. From May 1992 until joining MELA Sciences, Mr. Steinhart was a Managing Director of Forest Street Capital/SAE Ventures, a boutique investment banking, venture capital, and management consulting firm focused on healthcare and technology companies. Prior to Forest Street Capital/SAE Ventures, he was Vice President and Chief Financial Officer of Emisphere Technologies, Inc. Mr. Steinhart’s other experience includes seven years at CW Group, Inc., a venture capital firm focused on medical technology and biopharmaceutical companies, where he was a General Partner and Chief Financial Officer. Mr. Steinhart is a member of the Board of Directors of Actinium Pharmaceuticals, Inc., a position he assumed in November 2013, and Atossa Genetics, Inc., where he began his service in March 2014. Mr. Steinhart serves as the Chairman of the Audit Committee at Actinium Pharmaceuticals, where he also sits on the Corporate Governance Committees. Mr. Steinhart serves as the Chairman of Atossa Genetics Audit Committee and is a member of its Audit Committee and Compensation Committee. He holds B.B.A. and M.B.A. degrees from Pace University and is a Certified Public Accountant (inactive).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Frank D. Yocca, Ph.D.</w:t>
      </w:r>
      <w:r>
        <w:rPr>
          <w:rFonts w:ascii="Times New Roman;Times;serif" w:hAnsi="Times New Roman;Times;serif"/>
          <w:sz w:val="20"/>
        </w:rPr>
        <w:t xml:space="preserve"> has served as our Executive Vice President and Chief Scientific Officer since December 2023. From March 2018 to December 2023, he served as our Senior Vice President and Chief Medical Officer. From June 2017 to March 2018, Dr. Yocca served as our Vice President and Chief Scientific Officer. From April 2015 to April 2017, he was Senior Vice President, CNS R&amp;D of BioXcel. From 2005 to 2015, Dr. Yocca held multiple leadership roles at AstraZeneca plc, including Vice President, Strategy and Externalization, Neuroscience Virtual Innovative Medicine Unit (iMed) (2011-2015), Vice President and Head, Strategy Unit, CNS and Pain Innovative Medicine Unit (iMed) (2010 to 2011) and Vice President and Head, CNS Pain Discovery (2005 to 2010). Prior to this, he was Executive Director at the Bristol Myers Squibb Pharmaceutical Research Institute from 1984 to 2004 where he served concurrent leadership responsibilities within the Neuroscience Clinical Group for Early and Late Clinical Development Studies. Prior to this, Dr. Yocca served as Executive Director, Neuroscience Discovery from 1997 to 2003, where he was a collaborator in the development and implementation of corporate strategic plans and leader for the Neuroscience Biology Department in the discovery of psychiatry and Alzheimer’s clinical candidates. He was a core member of the Abilify Product Development and Commercialization Team from 1999 to 2002 and a core member of the Early and Late Discovery and Development Teams from 1984 to 2001. Dr. Yocca holds a B.S. in biochemistry from Manhattan College and an M.S. in pharmacology and a Ph.D. in neuropharmacology from St. John’s University.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Javier Rodriguez</w:t>
      </w:r>
      <w:r>
        <w:rPr>
          <w:rFonts w:ascii="Times New Roman;Times;serif" w:hAnsi="Times New Roman;Times;serif"/>
          <w:sz w:val="20"/>
        </w:rPr>
        <w:t xml:space="preserve"> has served as our Senior Vice President and Chief Legal Officer and Corporate Secretary since January 2021. Mr. Rodriguez has over 20 years of extensive strategic and legal experience within the biopharmaceutical industry and has broad leadership experience managing legal, compliance, corporate governance, intellectual property, data privacy, and government affairs professionals. Prior to joining BioXcel Therapeutics, he was Chief Legal Officer at Indivior PLC (LSE: INDV), a global pharmaceuticals company with operations in over 40 countries, from December 2014 to December 2020, where he oversaw all legal affairs, data privacy compliance, and corporate governance matters. Before taking on his role at Indivior, Mr. Rodriguez was General Counsel at Reckitt Benckiser Pharmaceuticals Inc. where he played a key leadership role in negotiating and successfully effectuating the demerger and spin-off of the organization in 2014, which included closing a $750 million secured term loan and $50 million revolving credit facility to fund on-going operations of the demerged entity. Earlier in his career, Mr. Rodriguez held roles of increasing responsibility at Reckitt Benckiser LLC, Bayer Healthcare Pharmaceuticals, Inc. and Berlex, Inc. He began his legal career in 2000 as a litigation associate at Thelen Reid &amp; Priest, LLP in New York City. He holds a B.S. in Civil Engineering from Rutgers University, a M.S.E. in Structural Engineering from the University of Michigan and a J.D. from the University of Pennsylvania.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Peter Mueller, Ph.D.</w:t>
      </w:r>
      <w:r>
        <w:rPr>
          <w:rFonts w:ascii="Times New Roman;Times;serif" w:hAnsi="Times New Roman;Times;serif"/>
          <w:sz w:val="20"/>
        </w:rPr>
        <w:t xml:space="preserve"> has served as a director of our Company since April 2017 and Chairman of the Board since August 2017. With over 30 years of global pharma and biotech experience, Dr. Mueller is currently the President of the Mueller Health Foundation, a private foundation tackling globally lethal infectious diseases such as tuberculosis by addressing latency and the ever-growing challenges of antimicrobial resistance. From 2014 to 2016, he was President of R&amp;D and Chief Scientific Officer of Axcella Health, a biotechnology company. From 2003 to 2014, Dr. Mueller served as Executive Vice President Global Research and Development &amp; Chief Scientific Officer for Vertex Pharmaceuticals, Incorporated, a biotechnology company. He was involved in the development of Incivek (2011), Kalydeco (2012), and Orkambi (2014). Prior to his tenure at Vertex, he served as Senior Vice President, Research and Development, for Boehringer Ingelheim Pharmaceuticals, Inc. overseeing global research programs (immunology, inflammation, cardiovascular diseases and gene therapy) and the development of all drug candidates of the company’s worldwide portfolio in North and South America, Canada and Japan, beginning in 1997. He was involved in the development of Spiriva, Combivent, Atrovent and Viramune. Dr. Mueller received both an undergraduate degree and a Ph.D. in Chemistry at the Albert Einstein University of Ulm, Germany, where he also holds a Professorship in Theoretical Organic Chemistry. He completed fellowships in Quantum Pharmacology at Oxford University and in Biophysics at Rochester University. He is a member of various scientific and political societies and currently serves on the Board of the US-India Chamber of Commerce Biotech. He also serves as chairman of the Scientific Advisory Board of BioXcel LLC and is an advisor to the University of Iowa Center for Bioanalysis and Bioprocessing. We believe that Dr. Mueller’s extensive experience in the life sciences industry as a scientist and executive qualifies him to serve as a director of our Company.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June Bray</w:t>
      </w:r>
      <w:r>
        <w:rPr>
          <w:rFonts w:ascii="Times New Roman;Times;serif" w:hAnsi="Times New Roman;Times;serif"/>
          <w:sz w:val="20"/>
        </w:rPr>
        <w:t xml:space="preserve"> has served as a director of our Company since March 2021. She previously served as Senior Vice President, Global Regulatory Affairs and Medical Writing of Allergan, Inc., a pharmaceutical company, from 2008 to 2020, where she was in charge of global regulatory strategies for development projects and lifecycle management for all therapeutic areas. From 2006 to 2008, Ms. Bray was Vice President, Regulatory Affairs at Organon &amp; Co. (prior to 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merger with Merck &amp; Co.), where she led departments responsible for regulatory activities for development and marketed products and, from 1980 to 2006, Ms. Bray served in various capacities at Berlex Laboratories, Inc., most recently as Vice President, Global Regulatory Affairs for Specialized Therapeutics/Oncology, a position she held from 2003 to 2006. Ms. Bray has served on the Board of Quince Therapeutics, Inc. since June 2022. Ms. Bray holds an M.B.A. from Fairleigh Dickinson University and a B.S. from the University of Rhode Island. We believe that Ms. Bray’s extensive experience in developing global regulatory strategies for product candidates qualifies her to serve as a director of our Company.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Sandeep Laumas, M.D.</w:t>
      </w:r>
      <w:r>
        <w:rPr>
          <w:rFonts w:ascii="Times New Roman;Times;serif" w:hAnsi="Times New Roman;Times;serif"/>
          <w:sz w:val="20"/>
        </w:rPr>
        <w:t xml:space="preserve"> has served as a director of our Company since September 2017. Since June 2020, Dr. Laumas has served as Chief Business Officer and Chief Financial Officer of Instil Bio Inc. He served as a Director of BioXcel Corporation from May 2013 to August 2017. Dr. Laumas served as a director of 9 Meters BioPharma, Inc. (formerly Innovate Biopharmaceuticals Inc.), a biopharma company, from January 2014 to June 2021, including serving as the Executive Chairman from 2014 to April 2020, and as its Chief Executive Officer from February 2019 to April 2020. Dr. Laumas has served as a director of Unicycive Therapeutics Inc. since January 2018. He began his career at Goldman Sachs &amp; Co. in New York in the Investment Banking Division. Dr. Laumas then joined Balyasny Asset Management in New York and later moved to North Sound Capital as a Managing Director responsible for global healthcare investments. He has been investing in healthcare via investment vehicles, Bearing Circle Capital. Dr. Laumas has served as a director of Parkway Holdings Ltd. (IHH Healthcare) and SRL Ltd. Dr. Laumas received his A.B. in Chemistry from Cornell University in 1990, M.D. from Albany Medical College in 1995 with a research gap year at the Dana-Farber Cancer Institute and completed his medical internship in 1996 from the Yale University School of Medicine. Dr. Laumas has a novel industry perspective, particularly in both public and private investments and financial transactions in the healthcare arena, which we believe qualifies him to serve as a director of our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Michael Miller</w:t>
      </w:r>
      <w:r>
        <w:rPr>
          <w:rFonts w:ascii="Times New Roman;Times;serif" w:hAnsi="Times New Roman;Times;serif"/>
          <w:sz w:val="20"/>
        </w:rPr>
        <w:t xml:space="preserve"> has served as a director of our Company since June 2022. He has served as an advisor to several biopharmaceutical companies, including Concarlo Therapeutics since June 2022 and Rigel Pharmaceuticals, Inc. since January 2022. Prior to that, he served as Executive Vice President, Commercial of Jazz Pharmaceuticals plc from March 2014 to August 2020. Since May 2018, Mr. Miller has served on the Board of Puma Biotechnology Inc., where he also serves on the Compensation Committee. Mr. Miller has also served on the Board of Directors of Rigel Pharmaceuticals, Inc. since February 2026. Mr. Miller received his B.S. from the University of San Francisco and his M.B.A. from San Francisco State University. The Board believes that Mr. Miller’s extensive experience at commercial pharmaceutical and public companies will provide valuable contributions to the Board.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Michal Votruba, M.D.,</w:t>
      </w:r>
      <w:r>
        <w:rPr>
          <w:rFonts w:ascii="Times New Roman;Times;serif" w:hAnsi="Times New Roman;Times;serif"/>
          <w:sz w:val="20"/>
        </w:rPr>
        <w:t xml:space="preserve"> has served as a director of our Company since March 2019. Since 2013, Dr. Votruba has been a Director of the Gradus/RSJ Life Sciences Fund, the largest dedicated fund in Central Europe with a portfolio of companies in Europe and the United States. Dr. Votruba served as a director of Mynd Analytics, Inc., a telebehavioral health services company, from July 2015 to 2019, and served as a director of Telemynd, Inc., successor to Mynd Analytics, since 2019. Since 2010, he has served as a member of the board of PrimeCell Therapeutics as the Director of Global Business Development overseeing the expansion of the largest regenerative medicine company operating in Central Europe. In 2009, the Czech Academy of Sciences solicited Dr. Votruba’s expertise for the first successful privatization project of the Institute of Experimental Medicine in Prague: the newly created protocol established a precedent for future privatization projects in the Czech Republic. Dr. Votruba earned his M.D. from the Medical Faculty of Charles University in Prague in 1989. Shortly thereafter, he emigrated from Czechoslovakia and developed his professional career in Canada and the USA. Since 2005, Dr. Votruba combined his theoretical and clinical experience in the field of Competitive Intelligence serving the global pharmaceutical industry for eight years as an industry analyst advising senior leaders of companies including Amgen, Novartis, Eli Lilly, Allergan, EMD, Serono and Sanofi. Dr. Votruba brings valuable expertise to the Board as a clinical psychiatrist and broad experience in the international marketing of innovative medical technologies.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David Mack</w:t>
      </w:r>
      <w:r>
        <w:rPr>
          <w:rFonts w:ascii="Times New Roman;Times;serif" w:hAnsi="Times New Roman;Times;serif"/>
          <w:sz w:val="20"/>
        </w:rPr>
        <w:t xml:space="preserve"> has more than 25 years of experience as a lawyer, director, and investor. He served as a director of of our Company since November 2024. He has extensive experience in leading transactions as well as deep knowledge of complex restructuring and litigation. He has previously served (or serves) on the boards of TerraForm Global, Inc. (NSDQ: GLBL), Speedcast International Limited (ASX: SDA) and Intelsat S.A., among others. He started his career in Sydney as a lawyer with Mallesons Stephen Jaques and then worked for Linklaters LLP in London. In 2000, he moved to the US, where he worked at Simpson Thacher &amp; Bartlett, LLP followed by Perry Capital LLC. He has a BA and an LLB (Hons) from the University of Sydney. In connection with his appointment, Mr. Mack was also appointed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Compensation Committee, effective with his commencement of service, as well as the newly formed Capital Raising Committee. We believe that Mr. Mack is qualified to serve as a director of our Company because of his extensive experience working on strategic transactions.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Dr. Rajiv</w:t>
      </w:r>
      <w:r>
        <w:rPr>
          <w:rFonts w:ascii="Times New Roman;Times;serif" w:hAnsi="Times New Roman;Times;serif"/>
          <w:sz w:val="20"/>
        </w:rPr>
        <w:t> </w:t>
      </w:r>
      <w:r>
        <w:rPr>
          <w:rFonts w:ascii="Times New Roman;Times;serif" w:hAnsi="Times New Roman;Times;serif"/>
          <w:b/>
          <w:i/>
          <w:sz w:val="20"/>
        </w:rPr>
        <w:t>Patni</w:t>
      </w:r>
      <w:r>
        <w:rPr>
          <w:rFonts w:ascii="Times New Roman;Times;serif" w:hAnsi="Times New Roman;Times;serif"/>
          <w:sz w:val="20"/>
        </w:rPr>
        <w:t xml:space="preserve"> Since September 2024, Dr. Patni has served as the Chief Executive Officer of Judo Bio, a biopharmaceutical development company focused on pioneering oligonucleotide medicines delivered to the kidney. He previously served as Chief Research and Development Officer at Reata Pharmaceuticals, a commercial-stage company acquired by Biogen and he is currently serving as a board member of Quince Therapeutics, Inc. (Nasdaq: QNCX). Previously, Dr. Patni also served as Chief Medical Officer at several public, commercial-stage biopharmaceutical companies - Global Blood Therapeutics, Portola Pharmaceuticals, and Adamas Pharmaceuticals, until their acquisitions by larger companies. Earlier in his career, Dr. Patni held roles of increasing responsibility at Pfizer, Roche, and Actelion. Dr. Patni received his M.D. from the Icahn School of Medicine at Mount Sinai in New York City as part of an accelerated B.S./M.D. program. He completed an internal medicine residency and adult cardiology fellowship at the Albert Einstein College of Medicine, also in New York City, where he continued as an attending physician-scientist before joining the biopharmaceutical industry. We believe that Dr. Patni’s extensive experience in biopharmaceutical product development will provide valuable contributions to the Board.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Board and Committee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fiscal 2025, our Board of Directors met 14 times, the audit committee met four times, the capital raise committee met 11 times, and the compensation committee met two times. In 2025, each of our incumbent directors attended at least 75% of the meetings of the Board and committees on which he or she then served as a member.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Executive sessions, which are meetings of the non-management members of the Board, are regularly scheduled throughout the year. In addition, at least twice per year, the independent directors meet in a private session that excludes management and any non-independent directors. The Chair of the Board presides at each of these meetings and, in his absence, the non-management and independent directors in attendance, as applicable, determine which member will preside at such session.</w:t>
      </w:r>
    </w:p>
    <w:p>
      <w:pPr>
        <w:pStyle w:val="TextBody"/>
        <w:bidi w:val="0"/>
        <w:spacing w:before="0" w:after="200"/>
        <w:ind w:left="360" w:right="0" w:hanging="0"/>
        <w:jc w:val="left"/>
        <w:rPr>
          <w:rFonts w:ascii="Times New Roman;Times;serif" w:hAnsi="Times New Roman;Times;serif"/>
          <w:sz w:val="20"/>
        </w:rPr>
      </w:pPr>
      <w:bookmarkStart w:id="73" w:name="_Toc187748832"/>
      <w:bookmarkEnd w:id="73"/>
      <w:r>
        <w:rPr>
          <w:rFonts w:ascii="Times New Roman;Times;serif" w:hAnsi="Times New Roman;Times;serif"/>
          <w:b/>
          <w:i/>
          <w:sz w:val="20"/>
        </w:rPr>
        <w:t>Board Leadership Structure</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Corporate Governance Guidelines provide our Board with flexibility to combine or separate the positions of Chairperson of the Board and Chief Executive Officer in accordance with its determination that utilizing one or the other structure would be in the best interests of the Company and its stockholders. If the Chairperson of the Board is a member of management or does not otherwise qualify as independent, our Corporate Governance Guidelines provide for the appointment by the independent directors of a lead independent director (the “Lead Director”). The Lead Director’s responsibilities include, but are not limited to: presiding over all meetings of the Board at which the Chairperson of the Board is not present, including any executive sessions of the independent directors; approving Board meeting schedules and agendas; and acting as the liaison between the independent directors and the Chief Executive Officer and Chairperson of the Board. Our Corporate Governance Guidelines provide that, at such times as the Chairperson of the Board qualifies as independent, the Chairperson of the Board will serve as Lead Director.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positions of our Chair of the Board and our Chief Executive Officer are currently served by two separate persons. Dr. Mueller serves as Chairman of the Board, and Dr. Mehta serves as our Chief Executive Officer. In his capacity as the independent Board Chair, Dr. Mueller performs the functions of the Lead Director.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Board believes that our current leadership structure of Chief Executive Officer and Chair of the Board being held by two separate individuals is in the best interests of the Company and its stockholders and strikes the appropriate balance between the Chief Executive Officer and President’s responsibility for the strategic direction, day-to day-leadership and performance of our Company and the Chair of the Board’s responsibility to guide overall strategic direction of our Company and provide oversight of our corporate governance and guidance to our Chief Executive Officer and President and to set the agenda for and preside over Board meetings. We recognize that different leadership structures may be appropriate for companies in different situations and believe that no one structure is suitable for all companies. Accordingly, the Board will continue to periodically review our leadership structure and make such changes in the future as it deems appropriate and in the best interests of the Company and its stockholders.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sz w:val="20"/>
        </w:rPr>
      </w:pPr>
      <w:bookmarkStart w:id="74" w:name="_Toc187748834"/>
      <w:bookmarkEnd w:id="74"/>
      <w:r>
        <w:rPr>
          <w:rFonts w:ascii="Times New Roman;Times;serif" w:hAnsi="Times New Roman;Times;serif"/>
          <w:b/>
          <w:i/>
          <w:sz w:val="20"/>
        </w:rPr>
        <w:t>Board Committees</w:t>
      </w:r>
      <w:r>
        <w:rPr>
          <w:rFonts w:ascii="Times New Roman;Times;serif" w:hAnsi="Times New Roman;Times;serif"/>
          <w:sz w:val="20"/>
        </w:rPr>
        <w: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Board has three standing committees: an audit committee, a compensation committee and a nominating and corporate governance committee, each of which has the composition and the responsibilities described below. In addition, from time to time, special committees may be established under the direction of our Board when necessary to address specific issues. Each of the audit committee, the compensation committee and the nominating and corporate governance committee operates under a written charter which are available in the “Governance - Governance Documents” section of the “Investors” page of our website located at </w:t>
      </w:r>
      <w:r>
        <w:rPr>
          <w:rFonts w:ascii="Times New Roman;Times;serif" w:hAnsi="Times New Roman;Times;serif"/>
          <w:i/>
          <w:sz w:val="20"/>
        </w:rPr>
        <w:t>www.bioxceltherapeutics.com</w:t>
      </w:r>
      <w:r>
        <w:rPr>
          <w:rFonts w:ascii="Times New Roman;Times;serif" w:hAnsi="Times New Roman;Times;serif"/>
          <w:sz w:val="20"/>
        </w:rPr>
        <w:t xml:space="preserve">. </w:t>
      </w:r>
    </w:p>
    <w:p>
      <w:pPr>
        <w:pStyle w:val="Normal"/>
        <w:bidi w:val="0"/>
        <w:spacing w:before="0" w:after="0"/>
        <w:jc w:val="left"/>
        <w:rPr>
          <w:sz w:val="4"/>
          <w:szCs w:val="4"/>
        </w:rPr>
      </w:pPr>
      <w:r>
        <w:rPr>
          <w:sz w:val="4"/>
          <w:szCs w:val="4"/>
        </w:rPr>
      </w:r>
      <w:bookmarkStart w:id="75" w:name="_Toc187748835"/>
      <w:bookmarkStart w:id="76" w:name="_Toc187748835"/>
      <w:bookmarkEnd w:id="76"/>
    </w:p>
    <w:tbl>
      <w:tblPr>
        <w:tblW w:w="6382" w:type="dxa"/>
        <w:jc w:val="left"/>
        <w:tblInd w:w="0" w:type="dxa"/>
        <w:tblLayout w:type="fixed"/>
        <w:tblCellMar>
          <w:top w:w="0" w:type="dxa"/>
          <w:left w:w="0" w:type="dxa"/>
          <w:bottom w:w="0" w:type="dxa"/>
          <w:right w:w="0" w:type="dxa"/>
        </w:tblCellMar>
      </w:tblPr>
      <w:tblGrid>
        <w:gridCol w:w="1981"/>
        <w:gridCol w:w="346"/>
        <w:gridCol w:w="901"/>
        <w:gridCol w:w="346"/>
        <w:gridCol w:w="1141"/>
        <w:gridCol w:w="346"/>
        <w:gridCol w:w="132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57935" cy="175260"/>
                      <wp:effectExtent l="0" t="0" r="0" b="0"/>
                      <wp:wrapNone/>
                      <wp:docPr id="48" name="Frame44"/>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9"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72135" cy="175260"/>
                      <wp:effectExtent l="0" t="0" r="0" b="0"/>
                      <wp:wrapNone/>
                      <wp:docPr id="50" name="Frame4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1"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24535" cy="175260"/>
                      <wp:effectExtent l="0" t="0" r="0" b="0"/>
                      <wp:wrapNone/>
                      <wp:docPr id="52" name="Frame4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3"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838835" cy="175260"/>
                      <wp:effectExtent l="0" t="0" r="0" b="0"/>
                      <wp:wrapNone/>
                      <wp:docPr id="54" name="Frame5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Nominating and</w: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r>
      <w:tr>
        <w:trPr/>
        <w:tc>
          <w:tcPr>
            <w:tcW w:w="1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Governance</w: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c>
          <w:tcPr>
            <w:tcW w:w="346" w:type="dxa"/>
            <w:tcBorders/>
            <w:vAlign w:val="center"/>
          </w:tcPr>
          <w:p>
            <w:pPr>
              <w:pStyle w:val="TableContents"/>
              <w:bidi w:val="0"/>
              <w:spacing w:before="0" w:after="0"/>
              <w:ind w:left="0" w:right="0" w:hanging="0"/>
              <w:jc w:val="center"/>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Bray</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Sandeep Laumas, M.D.</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Mueller, Ph.D.</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w:t>
            </w:r>
          </w:p>
        </w:tc>
        <w:tc>
          <w:tcPr>
            <w:tcW w:w="346" w:type="dxa"/>
            <w:tcBorders/>
            <w:shd w:fill="CCEEFF" w:val="clear"/>
            <w:vAlign w:val="center"/>
          </w:tcPr>
          <w:p>
            <w:pPr>
              <w:pStyle w:val="TableContents"/>
              <w:bidi w:val="0"/>
              <w:spacing w:before="0" w:after="0"/>
              <w:ind w:left="0" w:right="0" w:hanging="0"/>
              <w:jc w:val="center"/>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Miller</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center"/>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Michal Votruba, M.D.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vAlign w:val="center"/>
          </w:tcPr>
          <w:p>
            <w:pPr>
              <w:pStyle w:val="TableContents"/>
              <w:bidi w:val="0"/>
              <w:spacing w:before="0" w:after="0"/>
              <w:ind w:left="0" w:right="0" w:hanging="0"/>
              <w:jc w:val="center"/>
              <w:rPr/>
            </w:pPr>
            <w:r>
              <w:rPr/>
              <w:t> </w:t>
            </w:r>
          </w:p>
        </w:tc>
        <w:tc>
          <w:tcPr>
            <w:tcW w:w="11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 </w:t>
            </w:r>
          </w:p>
        </w:tc>
        <w:tc>
          <w:tcPr>
            <w:tcW w:w="1321" w:type="dxa"/>
            <w:tcBorders/>
            <w:shd w:fill="CCEEFF" w:val="clear"/>
            <w:vAlign w:val="center"/>
          </w:tcPr>
          <w:p>
            <w:pPr>
              <w:pStyle w:val="TableContents"/>
              <w:bidi w:val="0"/>
              <w:spacing w:before="0" w:after="0"/>
              <w:ind w:left="0" w:right="0" w:hanging="0"/>
              <w:jc w:val="center"/>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Mack</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center"/>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Rajiv Patni</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 </w:t>
            </w:r>
          </w:p>
        </w:tc>
        <w:tc>
          <w:tcPr>
            <w:tcW w:w="11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 </w:t>
            </w:r>
          </w:p>
        </w:tc>
        <w:tc>
          <w:tcPr>
            <w:tcW w:w="132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audit committee is responsible for, among other things: </w:t>
      </w:r>
    </w:p>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appointing, approving the compensation of, and assessing the independence of, our registered public accounting firm;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overseeing the work of our independent registered public accounting firm, including through the receipt and consideration of reports from such firm;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discussing our annual and quarterly financial statements and related disclosures with management and our independent registered public accounting firm;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considering whether to recommend to the Board that the Company’s audited financial statements be included in the Company’s Annual Report on Form 10-K;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coordinating our Board’s oversight of our internal control over financial reporting, disclosure controls and procedures and code of business conduct and ethics;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discussing our risk assessment and risk management policies, and overseeing management of our financial risks, cybersecurity risks, information security risks, and, as necessary or advisable, such other material risks facing the Company;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meeting independently with our internal auditors, if any, independent registered public accounting firm and management; </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on a periodic basis our investment policy; </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approving or ratifying any related person transactions;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pre-approving all audit and non-audit services provided to us by our independent auditor (other than those provided pursuant to appropriate preapproval policies established by the committee or exempt from such requirement under SEC rules);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 </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preparing the audit committee report required by SEC rules. </w:t>
            </w:r>
          </w:p>
        </w:tc>
      </w:tr>
    </w:tbl>
    <w:p>
      <w:pPr>
        <w:pStyle w:val="TextBody"/>
        <w:bidi w:val="0"/>
        <w:spacing w:before="0" w:after="0"/>
        <w:ind w:left="144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current members of our audit committee are Peter Mueller, Sandeep Laumas, Michael Miller and Michal Votruba, with Dr. Laumas serving as chair. All members of our audit committee meet the requirements for financial literacy under the applicable Nasdaq rules and regulations. Our Board has affirmatively determined that each member of our audit committee qualifies as “independent” under Nasdaq’s additional standards applicable to audit committee members and Rule 10A-3 of the Exchange Act applicable to audit committee members. In addition, our Board has determined that each of Dr. Laumas, Mr. Miller, Dr. Mueller, and Dr. Votruba qualifies as an “audit committee financial expert,” as such term is defined in Item 407(d)(5) of Regulation S-K. </w:t>
      </w:r>
    </w:p>
    <w:p>
      <w:pPr>
        <w:pStyle w:val="TextBody"/>
        <w:bidi w:val="0"/>
        <w:spacing w:before="0" w:after="200"/>
        <w:ind w:left="360" w:right="0" w:hanging="0"/>
        <w:jc w:val="left"/>
        <w:rPr>
          <w:rFonts w:ascii="Times New Roman;Times;serif" w:hAnsi="Times New Roman;Times;serif"/>
          <w:sz w:val="20"/>
        </w:rPr>
      </w:pPr>
      <w:bookmarkStart w:id="77" w:name="_Toc187748836"/>
      <w:bookmarkEnd w:id="77"/>
      <w:r>
        <w:rPr>
          <w:rFonts w:ascii="Times New Roman;Times;serif" w:hAnsi="Times New Roman;Times;serif"/>
          <w:b/>
          <w:i/>
          <w:sz w:val="20"/>
        </w:rPr>
        <w:t>Compensation Committee</w:t>
      </w:r>
      <w:r>
        <w:rPr>
          <w:rFonts w:ascii="Times New Roman;Times;serif" w:hAnsi="Times New Roman;Times;serif"/>
          <w:sz w:val="20"/>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compensation committee is responsible for, among other things: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approving, or recommending for approval by the board of directors, the compensation of our Chief Executive Officer and our other executive officers;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approving or make recommendations to the Board regarding the Company’s incentive compensation plans and equity-based plans and arrangements; </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overseeing and administering our incentive compensation and equity-based plans and arrangement; </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periodically reviewing and making recommendations to our board of directors with respect to director compensation;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discussing annually with management our “Compensation Discussion and Analysis,” to the extent required; </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preparing the annual compensation committee report required by SEC rules, to the extent required;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the results of the most recent stockholder advisory vote on executive compensation, and reviewing and recommending to our board of directors for approval the frequency with which we should conduct such votes, to the extent required;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overseeing the Company’s programs and policies as may be applicable, regarding talent management (including retention, development and training) and diversity and inclusion. </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current members of our compensation committee are Peter Mueller, Ph.D., Sandeep Laumas, M.D., and David Mack, with Dr. Mueller serving as chair. Our Board has determined that each member of our compensation committee qualifies as “independent” under Nasdaq’s additional standards applicable to compensation committee members and is a “non-employee director” as defined in Section 16b-3 of the Exchange Act.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compensation committee generally considers the Chief Executive Officer’s recommendations when making decisions regarding the compensation of non-employee directors and executive officers (other than the Chief Executive Officer). Pursuant to the compensation committee’s charter, the compensation committee has the authority to retain or obtain the advice of compensation consultants, legal counsel and other advisors to assist in carrying out its responsibilities. Before selecting any such consultant, counsel or advisor, the compensation committee reviews and considers the independence of such consultant, counsel or advisor in accordance with applicable Nasdaq rules. We must provide appropriate funding for payment of reasonable compensation to any advisor retained by the compensation committee.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sz w:val="20"/>
        </w:rPr>
      </w:pPr>
      <w:bookmarkStart w:id="78" w:name="_Toc187748837"/>
      <w:bookmarkEnd w:id="78"/>
      <w:r>
        <w:rPr>
          <w:rFonts w:ascii="Times New Roman;Times;serif" w:hAnsi="Times New Roman;Times;serif"/>
          <w:b/>
          <w:i/>
          <w:sz w:val="20"/>
        </w:rPr>
        <w:t>Compensation Consultants</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compensation committee has the authority under its charter to retain outside consultants or advisors, as it deems necessary or advisable. In accordance with this authority, the compensation committee. </w:t>
      </w:r>
    </w:p>
    <w:p>
      <w:pPr>
        <w:pStyle w:val="TextBody"/>
        <w:bidi w:val="0"/>
        <w:spacing w:before="0" w:after="200"/>
        <w:ind w:left="360" w:right="0" w:hanging="0"/>
        <w:jc w:val="left"/>
        <w:rPr>
          <w:rFonts w:ascii="Times New Roman;Times;serif" w:hAnsi="Times New Roman;Times;serif"/>
          <w:sz w:val="20"/>
        </w:rPr>
      </w:pPr>
      <w:bookmarkStart w:id="79" w:name="_Toc187748838"/>
      <w:bookmarkEnd w:id="79"/>
      <w:r>
        <w:rPr>
          <w:rFonts w:ascii="Times New Roman;Times;serif" w:hAnsi="Times New Roman;Times;serif"/>
          <w:b/>
          <w:i/>
          <w:sz w:val="20"/>
        </w:rPr>
        <w:t>Nominating and Corporate Governance Committee</w:t>
      </w:r>
      <w:r>
        <w:rPr>
          <w:rFonts w:ascii="Times New Roman;Times;serif" w:hAnsi="Times New Roman;Times;serif"/>
          <w:sz w:val="20"/>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nominating and corporate governance committee is responsible for, among other things: </w:t>
      </w:r>
    </w:p>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identifying individuals qualified to become members of our Board; </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recommending to our Board the persons to be nominated for election as directors and to each committee of the Board;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and recommending to our Board corporate governance guidelines, and reviewing and recommending to our board of directors proposed changes to our corporate governance guidelines from time to time;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in connection with a director’s notification of a change in employment or other circumstances; and</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overseeing a periodic evaluation of our Board. </w:t>
            </w:r>
          </w:p>
        </w:tc>
      </w:tr>
    </w:tbl>
    <w:p>
      <w:pPr>
        <w:pStyle w:val="TextBody"/>
        <w:bidi w:val="0"/>
        <w:spacing w:before="0" w:after="0"/>
        <w:ind w:left="144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current members of our nominating and corporate governance committee are June Bray, Sandeep Laumas and Peter Mueller, with Peter Mueller serving as chair. Our Board has determined that each of Ms. Bray and Drs. Laumas and Mueller qualifies as “independent” under applicable Nasdaq rules applicable to nominating and corporate governance committee members. </w:t>
      </w:r>
    </w:p>
    <w:p>
      <w:pPr>
        <w:pStyle w:val="TextBody"/>
        <w:bidi w:val="0"/>
        <w:spacing w:before="0" w:after="200"/>
        <w:ind w:left="360" w:right="0" w:hanging="0"/>
        <w:jc w:val="left"/>
        <w:rPr>
          <w:rFonts w:ascii="Times New Roman;Times;serif" w:hAnsi="Times New Roman;Times;serif"/>
          <w:sz w:val="20"/>
        </w:rPr>
      </w:pPr>
      <w:bookmarkStart w:id="80" w:name="_Toc187748845"/>
      <w:bookmarkEnd w:id="80"/>
      <w:r>
        <w:rPr>
          <w:rFonts w:ascii="Times New Roman;Times;serif" w:hAnsi="Times New Roman;Times;serif"/>
          <w:b/>
          <w:i/>
          <w:sz w:val="20"/>
        </w:rPr>
        <w:t>Code of Business Conduct and Ethics</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Business Conduct and Ethics is available under the “Governance - Governance Documents” section of the Investors page of our website located at </w:t>
      </w:r>
      <w:r>
        <w:rPr>
          <w:rFonts w:ascii="Times New Roman;Times;serif" w:hAnsi="Times New Roman;Times;serif"/>
          <w:i/>
          <w:sz w:val="20"/>
        </w:rPr>
        <w:t>www.bioxceltherapeutics.com</w:t>
      </w:r>
      <w:r>
        <w:rPr>
          <w:rFonts w:ascii="Times New Roman;Times;serif" w:hAnsi="Times New Roman;Times;serif"/>
          <w:sz w:val="20"/>
        </w:rPr>
        <w:t xml:space="preserve">, or by writing to our Corporate Secretary at our offices at 555 Long Wharf Drive, New Haven, CT 06511. We intend to make any required disclosures regarding amendments to, or waivers of, provisions of our Code of Conduct on our website rather than by filing a Current Report on Form 8-K. </w:t>
      </w:r>
    </w:p>
    <w:p>
      <w:pPr>
        <w:pStyle w:val="TextBody"/>
        <w:bidi w:val="0"/>
        <w:spacing w:before="0" w:after="200"/>
        <w:ind w:left="360" w:right="0" w:hanging="0"/>
        <w:jc w:val="left"/>
        <w:rPr>
          <w:rFonts w:ascii="Times New Roman;Times;serif" w:hAnsi="Times New Roman;Times;serif"/>
          <w:b/>
          <w:i/>
          <w:sz w:val="20"/>
        </w:rPr>
      </w:pPr>
      <w:bookmarkStart w:id="81" w:name="_Toc187748847"/>
      <w:bookmarkEnd w:id="81"/>
      <w:r>
        <w:rPr>
          <w:rFonts w:ascii="Times New Roman;Times;serif" w:hAnsi="Times New Roman;Times;serif"/>
          <w:b/>
          <w:i/>
          <w:sz w:val="20"/>
        </w:rPr>
        <w:t>Insider Trading Policy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maintain an Insider Trading Compliance Policy governing the purchase, sale, and other disposition of Company securities that is applicable to all of our directors, officers and employees. We believe our Insider Trading Compliance Policy and procedures are reasonably designed to promote compliance with insider trading laws. A copy of our Insider Trading Compliance Policy is filed hereto as Exhibit 19.1.</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policy additionally prohibits our directors, officers and employees from purchasing financial instruments, such as prepaid variable forward contracts, equity swaps, collars, and exchange funds, or otherwise engaging in transactions that hedge or offset, or are designed to hedge or offset, any decrease in the market value of our equity securities. All such transactions involving our equity securities, whether such securities were granted as compensation or are otherwise held, directly or indirectly, are prohibited. </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b/>
          <w:i/>
          <w:sz w:val="20"/>
        </w:rPr>
        <w:t>Compensation Recovery Policy (Clawback Policy)</w:t>
      </w:r>
      <w:r>
        <w:rPr>
          <w:rFonts w:ascii="Times New Roman;Times;serif" w:hAnsi="Times New Roman;Times;serif"/>
          <w:sz w:val="20"/>
        </w:rPr>
        <w:t> </w:t>
      </w:r>
    </w:p>
    <w:p>
      <w:pPr>
        <w:pStyle w:val="TextBody"/>
        <w:bidi w:val="0"/>
        <w:spacing w:before="0" w:after="0"/>
        <w:ind w:left="0" w:right="0" w:firstLine="360"/>
        <w:jc w:val="left"/>
        <w:rPr/>
      </w:pPr>
      <w:r>
        <w:rPr>
          <w:rFonts w:ascii="Times New Roman;Times;serif" w:hAnsi="Times New Roman;Times;serif"/>
          <w:sz w:val="20"/>
        </w:rPr>
        <w:t xml:space="preserve">In 2023, we adopted a </w:t>
      </w:r>
      <w:hyperlink r:id="rId6">
        <w:r>
          <w:rPr>
            <w:rStyle w:val="InternetLink"/>
            <w:rFonts w:ascii="Times New Roman;Times;serif" w:hAnsi="Times New Roman;Times;serif"/>
            <w:b w:val="false"/>
            <w:i w:val="false"/>
            <w:caps w:val="false"/>
            <w:smallCaps w:val="false"/>
            <w:sz w:val="20"/>
          </w:rPr>
          <w:t>compensation</w:t>
        </w:r>
      </w:hyperlink>
      <w:r>
        <w:rPr>
          <w:rFonts w:ascii="Times New Roman;Times;serif" w:hAnsi="Times New Roman;Times;serif"/>
          <w:sz w:val="20"/>
        </w:rPr>
        <w:t xml:space="preserve"> recovery, or “clawback,” policy (the “Clawback Policy”) in accordance with the Nasdaq listing standards and Exchange Act Rule 10D-1. The Clawback Policy provides for the mandatory recovery (subject to limited exceptions) from current and former officers of incentive-based compensation that was erroneously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received during the three years preceding the date that the Company is required to prepare an accounting restatement. The Clawback Policy is overseen and administered by the Compensation Committee. The full text of the Clawback Policy was included as Exhibit 97 to our Annual Report on Form 10-K for the fiscal year ended December 31, 2023, which was filed with the SEC on March 22, 2024. </w:t>
      </w:r>
    </w:p>
    <w:p>
      <w:pPr>
        <w:pStyle w:val="TextBody"/>
        <w:bidi w:val="0"/>
        <w:spacing w:before="0" w:after="200"/>
        <w:ind w:left="360" w:right="0" w:hanging="0"/>
        <w:jc w:val="left"/>
        <w:rPr>
          <w:rFonts w:ascii="Times New Roman;Times;serif" w:hAnsi="Times New Roman;Times;serif"/>
          <w:sz w:val="20"/>
        </w:rPr>
      </w:pPr>
      <w:bookmarkStart w:id="82" w:name="_Toc187748848"/>
      <w:bookmarkEnd w:id="82"/>
      <w:r>
        <w:rPr>
          <w:rFonts w:ascii="Times New Roman;Times;serif" w:hAnsi="Times New Roman;Times;serif"/>
          <w:b/>
          <w:i/>
          <w:sz w:val="20"/>
        </w:rPr>
        <w:t>Interested Persons’ Communications with the Board</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To help foster input and insight from the Company’s stockholders and other interested parties (collectively, “Interested Parties”), Interested Parties may communicate with, or otherwise make his or her concerns known directly to, the Chairperson of the Board, the lead director, if any, any chairperson of a Board committee, or the non-management or independent members of the Board, by addressing such communications to the intended recipient by name or position in care of: BioXcel Therapeutics, Inc., Attn: Chief Legal Officer, 555 Long Wharf Drive, New Haven, Connecticut 06511. The Chief Legal Officer will forward such communications to the appropriate party. </w:t>
      </w:r>
    </w:p>
    <w:p>
      <w:pPr>
        <w:pStyle w:val="TextBody"/>
        <w:bidi w:val="0"/>
        <w:spacing w:before="0" w:after="200"/>
        <w:ind w:left="0" w:right="0" w:hanging="0"/>
        <w:jc w:val="left"/>
        <w:rPr>
          <w:rFonts w:ascii="Times New Roman;Times;serif" w:hAnsi="Times New Roman;Times;serif"/>
          <w:b/>
          <w:sz w:val="20"/>
        </w:rPr>
      </w:pPr>
      <w:bookmarkStart w:id="83" w:name="Item_11"/>
      <w:bookmarkEnd w:id="83"/>
      <w:r>
        <w:rPr>
          <w:rFonts w:ascii="Times New Roman;Times;serif" w:hAnsi="Times New Roman;Times;serif"/>
          <w:b/>
          <w:sz w:val="20"/>
        </w:rPr>
        <w:t>Item 11. Executive Compensation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following is a discussion of the compensation arrangements of our named executive officers (“NEOs”). As a smaller reporting company, we are not required to include a Compensation Discussion and Analysis section and have elected to comply with the scaled disclosure requirements applicable to smaller reporting companies.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NEOs include our principal executive officer and our two most highly compensated executive officers, other than our principal executive officer, for the fiscal year ended December 31, 2025. These NEOs and their positions are: </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Vimal Mehta, Ph.D., our Chief Executive Officer and President; </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Javier Rodriquez, our Senior Vice President, Chief Legal Officer and Secretary; and</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Steinhart, our Senior Vice President and Chief Financial Officer.</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shows information regarding the compensation of our NEOs for the years presented. </w:t>
      </w:r>
    </w:p>
    <w:tbl>
      <w:tblPr>
        <w:tblW w:w="10205" w:type="dxa"/>
        <w:jc w:val="left"/>
        <w:tblInd w:w="0" w:type="dxa"/>
        <w:tblLayout w:type="fixed"/>
        <w:tblCellMar>
          <w:top w:w="0" w:type="dxa"/>
          <w:left w:w="0" w:type="dxa"/>
          <w:bottom w:w="0" w:type="dxa"/>
          <w:right w:w="0" w:type="dxa"/>
        </w:tblCellMar>
      </w:tblPr>
      <w:tblGrid>
        <w:gridCol w:w="1848"/>
        <w:gridCol w:w="346"/>
        <w:gridCol w:w="526"/>
        <w:gridCol w:w="346"/>
        <w:gridCol w:w="931"/>
        <w:gridCol w:w="109"/>
        <w:gridCol w:w="676"/>
        <w:gridCol w:w="346"/>
        <w:gridCol w:w="781"/>
        <w:gridCol w:w="346"/>
        <w:gridCol w:w="1141"/>
        <w:gridCol w:w="346"/>
        <w:gridCol w:w="1141"/>
        <w:gridCol w:w="346"/>
        <w:gridCol w:w="976"/>
      </w:tblGrid>
      <w:tr>
        <w:trPr/>
        <w:tc>
          <w:tcPr>
            <w:tcW w:w="1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73480" cy="175260"/>
                      <wp:effectExtent l="0" t="0" r="0" b="0"/>
                      <wp:wrapNone/>
                      <wp:docPr id="55" name="Frame51"/>
                      <a:graphic xmlns:a="http://schemas.openxmlformats.org/drawingml/2006/main">
                        <a:graphicData uri="http://schemas.microsoft.com/office/word/2010/wordprocessingShape">
                          <wps:wsp>
                            <wps:cNvSpPr txBox="1"/>
                            <wps:spPr>
                              <a:xfrm>
                                <a:off x="0" y="0"/>
                                <a:ext cx="1173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6"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34010" cy="175260"/>
                      <wp:effectExtent l="0" t="0" r="0" b="0"/>
                      <wp:wrapNone/>
                      <wp:docPr id="57" name="Frame5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8"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1185" cy="175260"/>
                      <wp:effectExtent l="0" t="0" r="0" b="0"/>
                      <wp:wrapNone/>
                      <wp:docPr id="59"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0"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29260" cy="175260"/>
                      <wp:effectExtent l="0" t="0" r="0" b="0"/>
                      <wp:wrapNone/>
                      <wp:docPr id="61" name="Frame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2"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95935" cy="175260"/>
                      <wp:effectExtent l="0" t="0" r="0" b="0"/>
                      <wp:wrapNone/>
                      <wp:docPr id="63" name="Frame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4"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24535" cy="175260"/>
                      <wp:effectExtent l="0" t="0" r="0" b="0"/>
                      <wp:wrapNone/>
                      <wp:docPr id="65" name="Frame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6"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24535" cy="175260"/>
                      <wp:effectExtent l="0" t="0" r="0" b="0"/>
                      <wp:wrapNone/>
                      <wp:docPr id="67" name="Frame6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8"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19760" cy="175260"/>
                      <wp:effectExtent l="0" t="0" r="0" b="0"/>
                      <wp:wrapNone/>
                      <wp:docPr id="69" name="Frame6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pPr>
            <w:r>
              <w:rPr/>
              <w:t>  ​</w:t>
            </w:r>
          </w:p>
        </w:tc>
      </w:tr>
      <w:tr>
        <w:trPr/>
        <w:tc>
          <w:tcPr>
            <w:tcW w:w="1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109"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0"/>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8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Vimal Mehta, Ph.D.</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706,558</w:t>
            </w:r>
          </w:p>
        </w:tc>
        <w:tc>
          <w:tcPr>
            <w:tcW w:w="109"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256,290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971,598</w:t>
            </w:r>
          </w:p>
        </w:tc>
      </w:tr>
      <w:tr>
        <w:trPr/>
        <w:tc>
          <w:tcPr>
            <w:tcW w:w="1848"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1,001,570</w:t>
            </w:r>
          </w:p>
        </w:tc>
        <w:tc>
          <w:tcPr>
            <w:tcW w:w="109"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101,250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1,119,245</w:t>
            </w:r>
          </w:p>
        </w:tc>
      </w:tr>
      <w:tr>
        <w:trPr/>
        <w:tc>
          <w:tcPr>
            <w:tcW w:w="18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Javier Rodriguez</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423,833</w:t>
            </w:r>
          </w:p>
        </w:tc>
        <w:tc>
          <w:tcPr>
            <w:tcW w:w="109"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432,583</w:t>
            </w:r>
          </w:p>
        </w:tc>
      </w:tr>
      <w:tr>
        <w:trPr/>
        <w:tc>
          <w:tcPr>
            <w:tcW w:w="1848"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VP and Chief Legal Officer</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423,833</w:t>
            </w:r>
          </w:p>
        </w:tc>
        <w:tc>
          <w:tcPr>
            <w:tcW w:w="109"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346"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30,375</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474,833</w:t>
            </w:r>
          </w:p>
        </w:tc>
      </w:tr>
      <w:tr>
        <w:trPr/>
        <w:tc>
          <w:tcPr>
            <w:tcW w:w="18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Richard Steinhart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289,800</w:t>
            </w:r>
          </w:p>
        </w:tc>
        <w:tc>
          <w:tcPr>
            <w:tcW w:w="109"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104,846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394,646</w:t>
            </w:r>
          </w:p>
        </w:tc>
      </w:tr>
      <w:tr>
        <w:trPr/>
        <w:tc>
          <w:tcPr>
            <w:tcW w:w="1848"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VP and Chief Financial Officer</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409,872</w:t>
            </w:r>
          </w:p>
        </w:tc>
        <w:tc>
          <w:tcPr>
            <w:tcW w:w="109"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456,375</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amounts reported represent the grant date fair value of restricted stock units and stock options granted to our NEOs as computed in accordance with Accounting Standards Codification 718, Compensation - Stock Compensation (ASC 718). Note that the amounts reported in these columns reflect the accounting cost for these awards and do not correspond to the actual economic value that may be received by our NEOs from the awards. We provided information regarding the assumptions used to calculate the value of the restricted stock units and stock options in Note 12 to our financial statements included herein. </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(2)</w:t>
            </w:r>
          </w:p>
        </w:tc>
        <w:tc>
          <w:tcPr>
            <w:tcW w:w="989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amounts reported for 2025 represent 401(k) matching contributions of ($8,750) for each named executive officer other than Mr. Steinhart. No bonus was paid for the year 2025. </w:t>
            </w:r>
          </w:p>
        </w:tc>
      </w:tr>
    </w:tbl>
    <w:p>
      <w:pPr>
        <w:pStyle w:val="TextBody"/>
        <w:pBdr/>
        <w:bidi w:val="0"/>
        <w:spacing w:before="0" w:after="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84" w:name="_Toc187748852"/>
      <w:bookmarkEnd w:id="84"/>
      <w:r>
        <w:rPr>
          <w:rFonts w:ascii="Times New Roman;Times;serif" w:hAnsi="Times New Roman;Times;serif"/>
          <w:b/>
          <w:sz w:val="20"/>
        </w:rPr>
        <w:t>Narrative to Summary Compensation Table</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2025 Salaries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NEOs receive a base salary to compensate them for services rendered to the Company. The base salary payable to each NEO is intended to provide a fixed component of compensation reflecting the executive’s skill set, experience, role and responsibilities. The base salaries of our NEOs are reviewed from time to time and adjusted when our Board or compensation committee determines an adjustment is appropriate. In 2025, the compensation committee determined it was in the best interest of the Company and Company’s stockholders to reduce the salaries of Dr. Mehta and Mr. Steinhart as shown in the </w:t>
      </w:r>
      <w:r>
        <w:rPr>
          <w:rFonts w:ascii="Times New Roman;Times;serif" w:hAnsi="Times New Roman;Times;serif"/>
          <w:i/>
          <w:sz w:val="20"/>
        </w:rPr>
        <w:t>Summary Compensation Table</w:t>
      </w:r>
      <w:r>
        <w:rPr>
          <w:rFonts w:ascii="Times New Roman;Times;serif" w:hAnsi="Times New Roman;Times;serif"/>
          <w:sz w:val="20"/>
        </w:rPr>
        <w:t xml:space="preserve"> above.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2025 Equity Awards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2025, we awarded stock options and time-based restricted stock units to our NEOs as the long-term incentive component of our executive compensation program. We typically grant equity awards at such times as our Board determines appropriate. The following table sets forth the equity awards we granted to our NEOs during 2025:</w:t>
      </w:r>
    </w:p>
    <w:tbl>
      <w:tblPr>
        <w:tblW w:w="4605" w:type="dxa"/>
        <w:jc w:val="left"/>
        <w:tblInd w:w="0" w:type="dxa"/>
        <w:tblLayout w:type="fixed"/>
        <w:tblCellMar>
          <w:top w:w="0" w:type="dxa"/>
          <w:left w:w="0" w:type="dxa"/>
          <w:bottom w:w="0" w:type="dxa"/>
          <w:right w:w="0" w:type="dxa"/>
        </w:tblCellMar>
      </w:tblPr>
      <w:tblGrid>
        <w:gridCol w:w="1711"/>
        <w:gridCol w:w="346"/>
        <w:gridCol w:w="822"/>
        <w:gridCol w:w="132"/>
        <w:gridCol w:w="822"/>
        <w:gridCol w:w="132"/>
        <w:gridCol w:w="640"/>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86485" cy="175260"/>
                      <wp:effectExtent l="0" t="0" r="0" b="0"/>
                      <wp:wrapNone/>
                      <wp:docPr id="70" name="Frame66"/>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1"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1970" cy="175260"/>
                      <wp:effectExtent l="0" t="0" r="0" b="0"/>
                      <wp:wrapNone/>
                      <wp:docPr id="72" name="Frame68"/>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3820" cy="175260"/>
                      <wp:effectExtent l="0" t="0" r="0" b="0"/>
                      <wp:wrapNone/>
                      <wp:docPr id="73" name="Frame69"/>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21970" cy="175260"/>
                      <wp:effectExtent l="0" t="0" r="0" b="0"/>
                      <wp:wrapNone/>
                      <wp:docPr id="74" name="Frame7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3820" cy="175260"/>
                      <wp:effectExtent l="0" t="0" r="0" b="0"/>
                      <wp:wrapNone/>
                      <wp:docPr id="75" name="Frame71"/>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06400" cy="175260"/>
                      <wp:effectExtent l="0" t="0" r="0" b="0"/>
                      <wp:wrapNone/>
                      <wp:docPr id="76" name="Frame72"/>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Equity Awards Granted (#)</w:t>
            </w:r>
          </w:p>
        </w:tc>
      </w:tr>
      <w:tr>
        <w:trPr/>
        <w:tc>
          <w:tcPr>
            <w:tcW w:w="1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  ​ ​ ​</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132" w:type="dxa"/>
            <w:tcBorders/>
            <w:vAlign w:val="center"/>
          </w:tcPr>
          <w:p>
            <w:pPr>
              <w:pStyle w:val="TableContents"/>
              <w:bidi w:val="0"/>
              <w:spacing w:before="0" w:after="0"/>
              <w:ind w:left="0" w:right="0" w:hanging="0"/>
              <w:jc w:val="center"/>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32" w:type="dxa"/>
            <w:tcBorders/>
            <w:vAlign w:val="center"/>
          </w:tcPr>
          <w:p>
            <w:pPr>
              <w:pStyle w:val="TableContents"/>
              <w:bidi w:val="0"/>
              <w:spacing w:before="0" w:after="0"/>
              <w:ind w:left="0" w:right="0" w:hanging="0"/>
              <w:jc w:val="center"/>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PSUs</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Vimal Mehta, Ph.D.</w:t>
            </w:r>
          </w:p>
        </w:tc>
        <w:tc>
          <w:tcPr>
            <w:tcW w:w="346"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41,250</w:t>
            </w:r>
          </w:p>
        </w:tc>
        <w:tc>
          <w:tcPr>
            <w:tcW w:w="132"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132"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Javier Rodriguez</w:t>
            </w:r>
          </w:p>
        </w:tc>
        <w:tc>
          <w:tcPr>
            <w:tcW w:w="346"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132"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132"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c>
          <w:tcPr>
            <w:tcW w:w="346"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16,875</w:t>
            </w:r>
          </w:p>
        </w:tc>
        <w:tc>
          <w:tcPr>
            <w:tcW w:w="132"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132"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options were granted with exercise prices equal to the fair market value of our common stock on the date of grant. The stock options generally vest and becomes exercisable as to 50% of the total number of shares underlying the option on each of the first and second anniversaries of the date of grant and the remaining become fully vested on the second anniversary of the date of the grant, subject, in each case, to the holder’s continued service through the applicable vesting date. The time-based restricted stock units generally vest fully on the nine-month anniversary of the date of the grant, subject, in each case, to the holder’s continued service through the applicable vesting date.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Refer to the “Outstanding Equity Awards at Year End” table below for additional information regarding the equity awards granted to our NEOs during 2025.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2025 Annual Bonuses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offer our NEOs the opportunity to earn discretionary annual cash bonuses to compensate them for attaining company and individual performance goals. Each NEO’s target bonus opportunity is expressed as a percentage of annual base salary. Pursuant to the Fifth Amendment to the Credit Agreement, we are restricted from paying cash bonuses to our employees or executives during the fiscal years 2024 and 2025 without OFA’s consent or increasing the cash compensation for fiscal year 2025 for certain senior officers of the Company from their compensation for fiscal year 2024.</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performance goals for annual bonuses are reviewed and approved annually by the compensation committee. For 2025, the annual bonus metrics established by the compensation committee were based on the achievement of certain company performance goals, as well as an assessment of individual performance. In early 2026 the Board approved retention bonuses for the NEOs.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Other Elements of Compensation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NEOs are eligible to participate in our employee benefit plans and programs, which generally include medical, dental and vision benefits, and life, short-term, and long-term disability insurance to the same extent as our other full-time employees generally, subject to the terms and eligibility requirements of those plans.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maintain a 401(k) defined contribution plan (the “401(k) Plan”), for the benefit of our employees who satisfy certain eligibility requirements. Our NEOs are eligible to participate in the 401(k) Plan on the same terms as other full-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time employees. In 2024, we matched employee contributions to the 401(k) Plan up to 50% of the first 5% of eligible compensation.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amounts paid pursuant to these arrangements are set forth in the Summary Compensation Table in the column entitled “All Other Compensation.”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MNPI by the Company.</w:t>
      </w:r>
    </w:p>
    <w:p>
      <w:pPr>
        <w:pStyle w:val="TextBody"/>
        <w:bidi w:val="0"/>
        <w:spacing w:before="0" w:after="200"/>
        <w:ind w:left="0" w:right="0" w:hanging="0"/>
        <w:jc w:val="left"/>
        <w:rPr>
          <w:rFonts w:ascii="Times New Roman;Times;serif" w:hAnsi="Times New Roman;Times;serif"/>
          <w:sz w:val="20"/>
        </w:rPr>
      </w:pPr>
      <w:bookmarkStart w:id="85" w:name="_Toc187748853"/>
      <w:bookmarkEnd w:id="85"/>
      <w:r>
        <w:rPr>
          <w:rFonts w:ascii="Times New Roman;Times;serif" w:hAnsi="Times New Roman;Times;serif"/>
          <w:b/>
          <w:sz w:val="20"/>
        </w:rPr>
        <w:t>Outstanding Equity Awards at Year End</w:t>
      </w:r>
      <w:r>
        <w:rPr>
          <w:rFonts w:ascii="Times New Roman;Times;serif" w:hAnsi="Times New Roman;Times;serif"/>
          <w:sz w:val="20"/>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sets forth all outstanding equity awards held by each of the NEOs as of December 31, 2025. </w:t>
      </w:r>
    </w:p>
    <w:tbl>
      <w:tblPr>
        <w:tblW w:w="11048" w:type="dxa"/>
        <w:jc w:val="left"/>
        <w:tblInd w:w="0" w:type="dxa"/>
        <w:tblLayout w:type="fixed"/>
        <w:tblCellMar>
          <w:top w:w="0" w:type="dxa"/>
          <w:left w:w="0" w:type="dxa"/>
          <w:bottom w:w="0" w:type="dxa"/>
          <w:right w:w="0" w:type="dxa"/>
        </w:tblCellMar>
      </w:tblPr>
      <w:tblGrid>
        <w:gridCol w:w="736"/>
        <w:gridCol w:w="346"/>
        <w:gridCol w:w="1111"/>
        <w:gridCol w:w="346"/>
        <w:gridCol w:w="871"/>
        <w:gridCol w:w="346"/>
        <w:gridCol w:w="991"/>
        <w:gridCol w:w="346"/>
        <w:gridCol w:w="631"/>
        <w:gridCol w:w="346"/>
        <w:gridCol w:w="811"/>
        <w:gridCol w:w="346"/>
        <w:gridCol w:w="631"/>
        <w:gridCol w:w="109"/>
        <w:gridCol w:w="346"/>
        <w:gridCol w:w="526"/>
        <w:gridCol w:w="346"/>
        <w:gridCol w:w="736"/>
        <w:gridCol w:w="346"/>
        <w:gridCol w:w="156"/>
        <w:gridCol w:w="625"/>
      </w:tblGrid>
      <w:tr>
        <w:trPr/>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67360" cy="175260"/>
                      <wp:effectExtent l="0" t="0" r="0" b="0"/>
                      <wp:wrapNone/>
                      <wp:docPr id="77" name="Frame7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8"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05485" cy="175260"/>
                      <wp:effectExtent l="0" t="0" r="0" b="0"/>
                      <wp:wrapNone/>
                      <wp:docPr id="79" name="Frame7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0"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53085" cy="175260"/>
                      <wp:effectExtent l="0" t="0" r="0" b="0"/>
                      <wp:wrapNone/>
                      <wp:docPr id="81" name="Frame7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2"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29285" cy="175260"/>
                      <wp:effectExtent l="0" t="0" r="0" b="0"/>
                      <wp:wrapNone/>
                      <wp:docPr id="83" name="Frame7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4"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00685" cy="175260"/>
                      <wp:effectExtent l="0" t="0" r="0" b="0"/>
                      <wp:wrapNone/>
                      <wp:docPr id="85" name="Frame8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14985" cy="175260"/>
                      <wp:effectExtent l="0" t="0" r="0" b="0"/>
                      <wp:wrapNone/>
                      <wp:docPr id="87" name="Frame8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8"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00685" cy="175260"/>
                      <wp:effectExtent l="0" t="0" r="0" b="0"/>
                      <wp:wrapNone/>
                      <wp:docPr id="89" name="Frame8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0"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1"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34010" cy="175260"/>
                      <wp:effectExtent l="0" t="0" r="0" b="0"/>
                      <wp:wrapNone/>
                      <wp:docPr id="92" name="Frame8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3"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67360" cy="175260"/>
                      <wp:effectExtent l="0" t="0" r="0" b="0"/>
                      <wp:wrapNone/>
                      <wp:docPr id="94" name="Frame9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5"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9060" cy="175260"/>
                      <wp:effectExtent l="0" t="0" r="0" b="0"/>
                      <wp:wrapNone/>
                      <wp:docPr id="96" name="Frame92"/>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96875" cy="175260"/>
                      <wp:effectExtent l="0" t="0" r="0" b="0"/>
                      <wp:wrapNone/>
                      <wp:docPr id="97" name="Frame9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  ​ ​ ​</w:t>
            </w:r>
          </w:p>
        </w:tc>
        <w:tc>
          <w:tcPr>
            <w:tcW w:w="87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63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81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right"/>
              <w:rPr/>
            </w:pPr>
            <w:r>
              <w:rPr/>
              <w:t>  ​ ​ ​</w:t>
            </w:r>
          </w:p>
        </w:tc>
        <w:tc>
          <w:tcPr>
            <w:tcW w:w="63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2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right"/>
              <w:rPr/>
            </w:pPr>
            <w:r>
              <w:rPr/>
              <w:t>  ​ ​ ​</w:t>
            </w:r>
          </w:p>
        </w:tc>
        <w:tc>
          <w:tcPr>
            <w:tcW w:w="73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Incentive</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Plan</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Incentive</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Awards:</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Plan</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Market or</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Awards:</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Payout</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Number of</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Value of</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Market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Unearned</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Unearned</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Number of</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Value of</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 or</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 or</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Units of</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Units or</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Number of</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Number of</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Units of</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Units or</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Securities</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Securities</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Rights</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Rights</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Underlying</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Underlying</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Option</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That</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That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That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That</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Vesting</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Unexercised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Unexercised</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Exercise</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Option</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Have Not</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Have Not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Have Not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Have Not</w:t>
            </w:r>
          </w:p>
        </w:tc>
      </w:tr>
      <w:tr>
        <w:trPr/>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Commencement</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Options (#)</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Options (#)</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Price</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Expiration</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Vested</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Vested</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Vested</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Vested</w:t>
            </w:r>
          </w:p>
        </w:tc>
      </w:tr>
      <w:tr>
        <w:trPr/>
        <w:tc>
          <w:tcPr>
            <w:tcW w:w="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Name</w:t>
            </w:r>
          </w:p>
        </w:tc>
        <w:tc>
          <w:tcPr>
            <w:tcW w:w="34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Date</w:t>
            </w:r>
          </w:p>
        </w:tc>
        <w:tc>
          <w:tcPr>
            <w:tcW w:w="346" w:type="dxa"/>
            <w:tcBorders/>
            <w:vAlign w:val="center"/>
          </w:tcPr>
          <w:p>
            <w:pPr>
              <w:pStyle w:val="TableContents"/>
              <w:bidi w:val="0"/>
              <w:spacing w:before="0" w:after="0"/>
              <w:ind w:left="0" w:right="0" w:hanging="0"/>
              <w:jc w:val="righ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Exercisable</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Unexercisable</w:t>
            </w:r>
          </w:p>
        </w:tc>
        <w:tc>
          <w:tcPr>
            <w:tcW w:w="346" w:type="dxa"/>
            <w:tcBorders/>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t>
            </w:r>
          </w:p>
        </w:tc>
        <w:tc>
          <w:tcPr>
            <w:tcW w:w="346"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Date</w:t>
            </w:r>
          </w:p>
        </w:tc>
        <w:tc>
          <w:tcPr>
            <w:tcW w:w="346" w:type="dxa"/>
            <w:tcBorders/>
            <w:vAlign w:val="center"/>
          </w:tcPr>
          <w:p>
            <w:pPr>
              <w:pStyle w:val="TableContents"/>
              <w:bidi w:val="0"/>
              <w:spacing w:before="0" w:after="0"/>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($)(1)</w:t>
            </w:r>
          </w:p>
        </w:tc>
      </w:tr>
      <w:tr>
        <w:trPr/>
        <w:tc>
          <w:tcPr>
            <w:tcW w:w="7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Vimal Mehta, Ph.D.</w:t>
            </w:r>
          </w:p>
        </w:tc>
        <w:tc>
          <w:tcPr>
            <w:tcW w:w="346" w:type="dxa"/>
            <w:tcBorders/>
            <w:shd w:fill="CCEEFF" w:val="clear"/>
            <w:vAlign w:val="center"/>
          </w:tcPr>
          <w:p>
            <w:pPr>
              <w:pStyle w:val="TableContents"/>
              <w:bidi w:val="0"/>
              <w:spacing w:before="0" w:after="0"/>
              <w:ind w:left="0" w:right="0" w:hanging="0"/>
              <w:jc w:val="center"/>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08/23/2017</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18,376</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6.56</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08/23/2027</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05/23/2019</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11,732</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160.64</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05/23/2029</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05/26/2020</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15,625</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735.84</w:t>
            </w:r>
          </w:p>
        </w:tc>
        <w:tc>
          <w:tcPr>
            <w:tcW w:w="34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05/25/2030</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03/25/2021</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15,625</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658.72</w:t>
            </w:r>
          </w:p>
        </w:tc>
        <w:tc>
          <w:tcPr>
            <w:tcW w:w="34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03/25/2031</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03/14/2022</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(2)</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9,787</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651</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244.96</w:t>
            </w:r>
          </w:p>
        </w:tc>
        <w:tc>
          <w:tcPr>
            <w:tcW w:w="34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03/14/2032</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03/14/2022</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(4)</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262</w:t>
            </w:r>
          </w:p>
        </w:tc>
        <w:tc>
          <w:tcPr>
            <w:tcW w:w="34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03/15/2023</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(3)</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7,216</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3,285</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313.60</w:t>
            </w:r>
          </w:p>
        </w:tc>
        <w:tc>
          <w:tcPr>
            <w:tcW w:w="34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03/15/2033</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03/15/2023</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(5)</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1,752</w:t>
            </w:r>
          </w:p>
        </w:tc>
        <w:tc>
          <w:tcPr>
            <w:tcW w:w="346"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07/22/2024</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(6)</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3,125</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3,125</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19.20</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07/22/2034</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01/07/2025</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41,250</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7.54</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01/07/2035</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08/01/2025</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(7)</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18,000</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28,800</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Javier Rodriquez</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02/22/2021</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2,001</w:t>
            </w:r>
          </w:p>
        </w:tc>
        <w:tc>
          <w:tcPr>
            <w:tcW w:w="34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878.40</w:t>
            </w:r>
          </w:p>
        </w:tc>
        <w:tc>
          <w:tcPr>
            <w:tcW w:w="34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02/22/2031</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08/16/2021</w:t>
            </w:r>
          </w:p>
        </w:tc>
        <w:tc>
          <w:tcPr>
            <w:tcW w:w="34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626</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381.44</w:t>
            </w:r>
          </w:p>
        </w:tc>
        <w:tc>
          <w:tcPr>
            <w:tcW w:w="34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08/16/2031</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03/14/2022</w:t>
            </w:r>
          </w:p>
        </w:tc>
        <w:tc>
          <w:tcPr>
            <w:tcW w:w="346" w:type="dxa"/>
            <w:tcBorders/>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(2)</w:t>
            </w:r>
            <w:r>
              <w:rPr>
                <w:rFonts w:ascii="Times New Roman;Times;serif" w:hAnsi="Times New Roman;Times;serif"/>
                <w:sz w:val="14"/>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1,955</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w:t>
            </w:r>
          </w:p>
        </w:tc>
        <w:tc>
          <w:tcPr>
            <w:tcW w:w="3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244.96</w:t>
            </w:r>
          </w:p>
        </w:tc>
        <w:tc>
          <w:tcPr>
            <w:tcW w:w="34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03/14/2032</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03/14/2022</w:t>
            </w:r>
          </w:p>
        </w:tc>
        <w:tc>
          <w:tcPr>
            <w:tcW w:w="346" w:type="dxa"/>
            <w:tcBorders/>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(4)</w:t>
            </w:r>
            <w:r>
              <w:rPr>
                <w:rFonts w:ascii="Times New Roman;Times;serif" w:hAnsi="Times New Roman;Times;serif"/>
                <w:sz w:val="14"/>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w:t>
            </w:r>
          </w:p>
        </w:tc>
        <w:tc>
          <w:tcPr>
            <w:tcW w:w="34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03/15/2023</w:t>
            </w:r>
          </w:p>
        </w:tc>
        <w:tc>
          <w:tcPr>
            <w:tcW w:w="346" w:type="dxa"/>
            <w:tcBorders/>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(3)</w:t>
            </w:r>
            <w:r>
              <w:rPr>
                <w:rFonts w:ascii="Times New Roman;Times;serif" w:hAnsi="Times New Roman;Times;serif"/>
                <w:sz w:val="14"/>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1,373</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628</w:t>
            </w:r>
          </w:p>
        </w:tc>
        <w:tc>
          <w:tcPr>
            <w:tcW w:w="3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313.60</w:t>
            </w:r>
          </w:p>
        </w:tc>
        <w:tc>
          <w:tcPr>
            <w:tcW w:w="34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03/15/2033</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03/15/2023</w:t>
            </w:r>
          </w:p>
        </w:tc>
        <w:tc>
          <w:tcPr>
            <w:tcW w:w="346" w:type="dxa"/>
            <w:tcBorders/>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(5)</w:t>
            </w:r>
            <w:r>
              <w:rPr>
                <w:rFonts w:ascii="Times New Roman;Times;serif" w:hAnsi="Times New Roman;Times;serif"/>
                <w:sz w:val="14"/>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285</w:t>
            </w:r>
          </w:p>
        </w:tc>
        <w:tc>
          <w:tcPr>
            <w:tcW w:w="346"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07/22/2024</w:t>
            </w:r>
          </w:p>
        </w:tc>
        <w:tc>
          <w:tcPr>
            <w:tcW w:w="346" w:type="dxa"/>
            <w:tcBorders/>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(6)</w:t>
            </w:r>
            <w:r>
              <w:rPr>
                <w:rFonts w:ascii="Times New Roman;Times;serif" w:hAnsi="Times New Roman;Times;serif"/>
                <w:sz w:val="14"/>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937</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938</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19.20</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07/22/2034</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08/01/2025</w:t>
            </w:r>
          </w:p>
        </w:tc>
        <w:tc>
          <w:tcPr>
            <w:tcW w:w="346" w:type="dxa"/>
            <w:tcBorders/>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(7)</w:t>
            </w:r>
            <w:r>
              <w:rPr>
                <w:rFonts w:ascii="Times New Roman;Times;serif" w:hAnsi="Times New Roman;Times;serif"/>
                <w:sz w:val="14"/>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9,000</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14,400</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Richard Steinhart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10/02/2017</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5,010</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88.80</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10/02/2027</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03/12/2018</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2,016</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176.00</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03/12/2028</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05/26/2020</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3,438</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735.84</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05/25/2030</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03/25/2021</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1,251</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658.72</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03/25/2031</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03/14/2022</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(2)</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1,954</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244.96</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03/14/2032</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03/14/2022</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(4)</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03/15/2023</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(3)</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1,373</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628</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313.60</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03/15/2033</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03/15/2023</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(5)</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285</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07/22/2024</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(6)</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937</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938</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19.20</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07/22/2034</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01/07/2025</w:t>
            </w:r>
          </w:p>
        </w:tc>
        <w:tc>
          <w:tcPr>
            <w:tcW w:w="34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16,875</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7.54</w:t>
            </w:r>
          </w:p>
        </w:tc>
        <w:tc>
          <w:tcPr>
            <w:tcW w:w="34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01/07/2035</w:t>
            </w:r>
          </w:p>
        </w:tc>
        <w:tc>
          <w:tcPr>
            <w:tcW w:w="3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08/01/2025</w:t>
            </w:r>
          </w:p>
        </w:tc>
        <w:tc>
          <w:tcPr>
            <w:tcW w:w="34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sz w:val="14"/>
              </w:rPr>
            </w:pPr>
            <w:r>
              <w:rPr>
                <w:rFonts w:ascii="Times New Roman;Times;serif" w:hAnsi="Times New Roman;Times;serif"/>
                <w:sz w:val="11"/>
              </w:rPr>
              <w:t>(7)</w:t>
            </w:r>
            <w:r>
              <w:rPr>
                <w:rFonts w:ascii="Times New Roman;Times;serif" w:hAnsi="Times New Roman;Times;serif"/>
                <w:sz w:val="14"/>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9,000</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14,400</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5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04"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amounts shown are based on the closing price of our common stock on December 31, 2025 of $1.60 per share. For the restricted stock units in Employee Holdings, the amount shown is based on the fair market value of such awards as of December 31, 2025.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(2)</w:t>
            </w:r>
          </w:p>
        </w:tc>
        <w:tc>
          <w:tcPr>
            <w:tcW w:w="987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unvested portion of the option vests in substantially equal monthly installments until the fourth anniversary of the vesting commencement date.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(3)</w:t>
            </w:r>
          </w:p>
        </w:tc>
        <w:tc>
          <w:tcPr>
            <w:tcW w:w="989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option vests as to 25% of the shares on the first anniversary of the vesting commencement date and in substantially equal monthly installments thereafter until the fourth anniversary of the vesting commencement date. </w:t>
            </w:r>
          </w:p>
        </w:tc>
      </w:tr>
    </w:tbl>
    <w:tbl>
      <w:tblPr>
        <w:tblW w:w="8972" w:type="dxa"/>
        <w:jc w:val="left"/>
        <w:tblInd w:w="0" w:type="dxa"/>
        <w:tblLayout w:type="fixed"/>
        <w:tblCellMar>
          <w:top w:w="0" w:type="dxa"/>
          <w:left w:w="0" w:type="dxa"/>
          <w:bottom w:w="0" w:type="dxa"/>
          <w:right w:w="0" w:type="dxa"/>
        </w:tblCellMar>
      </w:tblPr>
      <w:tblGrid>
        <w:gridCol w:w="331"/>
        <w:gridCol w:w="8641"/>
      </w:tblGrid>
      <w:tr>
        <w:trPr/>
        <w:tc>
          <w:tcPr>
            <w:tcW w:w="33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(4)</w:t>
            </w:r>
          </w:p>
        </w:tc>
        <w:tc>
          <w:tcPr>
            <w:tcW w:w="864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RSUs vest in substantially equal quarterly installments until the fourth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(5)</w:t>
            </w:r>
          </w:p>
        </w:tc>
        <w:tc>
          <w:tcPr>
            <w:tcW w:w="989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RSUs vest as to 25% of the shares on the first anniversary of the vesting commencement date and in substantially equal quarterly installments thereafter until the fourth anniversary of the vesting commencement date. </w:t>
            </w:r>
          </w:p>
        </w:tc>
      </w:tr>
    </w:tbl>
    <w:tbl>
      <w:tblPr>
        <w:tblW w:w="7652" w:type="dxa"/>
        <w:jc w:val="left"/>
        <w:tblInd w:w="0" w:type="dxa"/>
        <w:tblLayout w:type="fixed"/>
        <w:tblCellMar>
          <w:top w:w="0" w:type="dxa"/>
          <w:left w:w="0" w:type="dxa"/>
          <w:bottom w:w="0" w:type="dxa"/>
          <w:right w:w="0" w:type="dxa"/>
        </w:tblCellMar>
      </w:tblPr>
      <w:tblGrid>
        <w:gridCol w:w="331"/>
        <w:gridCol w:w="7321"/>
      </w:tblGrid>
      <w:tr>
        <w:trPr/>
        <w:tc>
          <w:tcPr>
            <w:tcW w:w="33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(6)</w:t>
            </w:r>
          </w:p>
        </w:tc>
        <w:tc>
          <w:tcPr>
            <w:tcW w:w="732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option vests as to 50% of the shares on each of the first and second anniversaries of the grant date. </w:t>
            </w:r>
          </w:p>
        </w:tc>
      </w:tr>
    </w:tbl>
    <w:tbl>
      <w:tblPr>
        <w:tblW w:w="4952" w:type="dxa"/>
        <w:jc w:val="left"/>
        <w:tblInd w:w="0" w:type="dxa"/>
        <w:tblLayout w:type="fixed"/>
        <w:tblCellMar>
          <w:top w:w="0" w:type="dxa"/>
          <w:left w:w="0" w:type="dxa"/>
          <w:bottom w:w="0" w:type="dxa"/>
          <w:right w:w="0" w:type="dxa"/>
        </w:tblCellMar>
      </w:tblPr>
      <w:tblGrid>
        <w:gridCol w:w="331"/>
        <w:gridCol w:w="4621"/>
      </w:tblGrid>
      <w:tr>
        <w:trPr/>
        <w:tc>
          <w:tcPr>
            <w:tcW w:w="33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(7)</w:t>
            </w:r>
          </w:p>
        </w:tc>
        <w:tc>
          <w:tcPr>
            <w:tcW w:w="462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RSUs vest on the nine-month anniversary of the grant date. </w:t>
            </w:r>
          </w:p>
        </w:tc>
      </w:tr>
    </w:tbl>
    <w:p>
      <w:pPr>
        <w:pStyle w:val="TextBody"/>
        <w:bidi w:val="0"/>
        <w:spacing w:before="240" w:after="200"/>
        <w:ind w:left="0" w:right="0" w:hanging="0"/>
        <w:jc w:val="left"/>
        <w:rPr>
          <w:rFonts w:ascii="Times New Roman;Times;serif" w:hAnsi="Times New Roman;Times;serif"/>
          <w:sz w:val="20"/>
        </w:rPr>
      </w:pPr>
      <w:bookmarkStart w:id="86" w:name="_Toc187748854"/>
      <w:bookmarkEnd w:id="86"/>
      <w:r>
        <w:rPr>
          <w:rFonts w:ascii="Times New Roman;Times;serif" w:hAnsi="Times New Roman;Times;serif"/>
          <w:b/>
          <w:sz w:val="20"/>
        </w:rPr>
        <w:t>Employment Arrangements</w:t>
      </w:r>
      <w:r>
        <w:rPr>
          <w:rFonts w:ascii="Times New Roman;Times;serif" w:hAnsi="Times New Roman;Times;serif"/>
          <w:sz w:val="20"/>
        </w:rPr>
        <w:t> </w:t>
      </w:r>
      <w:r>
        <w:rPr>
          <w:rFonts w:ascii="Times New Roman;Times;serif" w:hAnsi="Times New Roman;Times;serif"/>
          <w:b/>
          <w:sz w:val="20"/>
        </w:rPr>
        <w:t>- 2025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have entered into employment agreements with each of our NEOs that set forth the terms and conditions of each executive’s employment with us. All descriptions of the employment agreements herein describe the agreements in effect as of December 31, 2025, and do not reflect subsequent amendments.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Each employment agreement establishes an annual base salary and target bonus opportunity for each NEO. The amounts in effect during 2025 are described above under the headings “2025 Salaries” and “2025 Annual Bonuses.” The NEOs are eligible to participate in our employee benefit plans and programs for which the NEO is eligible, subject to the terms and conditions of such plans and programs.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2025, in the event that an NEO was terminated by us without cause, or by the executive for good reason, subject to the NEO’s timely execution and non-revocation of a release of claims in our favor, the executive would have been eligible to receive (i) a pro-rated portion of the executive’s annual bonus for the year of termination; (ii) base salary continuation for 24 months for Dr. Mehta, 6 months for Mr. Rodriguez and Mr. Steinhart; and (iii) reimbursement for COBRA premium payments for the applicable severance period. In addition, Dr. Mehta would be entitled to vesting of 50% of any unvested equity awards held by him immediately prior to his termination. The Company must provide an NEO 30 days’ notice in the event we terminate such NEO without cause.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employment agreements also provide that, in the event an NEO’s employment is terminated by us without cause or by the NEO for good reason, in either case, within 6 months prior to or 12 months after a change in control, then, subject to the NEO’s timely execution and non-revocation of a release of claims in our favor, the NEO will be entitled to a lump sum payment equal to 6 months of base salary (or 24 months of base salary for Dr. Mehta), which payment is in addition to the severance payments and benefits described above.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employment agreements generally define “cause” as, subject to certain notice and cure rights, the NEO’s (i) material breach or material default of the employment agreement or any other agreement between us and the NEO, or repeated failure to follow the direction of the Company or our Board, as applicable; (ii) gross negligence, willful misfeasance or breach of fiduciary duty to us or our affiliates; (iii) commission of an act or omission involving fraud, embezzlement, misappropriation or dishonesty in connection with NEO’s duties to us or our affiliates, or, for Mr. Rodriguez or Mr. Steinhart, that is otherwise likely to be materially injurious to the business or reputation of the Company or our affiliates; or (iv) conviction of, indictment for, or pleading guilty or nolo contendere to, any felony or other crime involving fraud or moral turpitude.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employment agreements generally define “good reason” as, subject to certain notice and cure rights, the occurrence of any of the following (without the NEO’s express written consent): (i) a significant reduction of the NEO’s duties, position or responsibilities, or the removal of the NEO from such position, duties or responsibilities; (ii) for Dr. Mehta and Mr. Rodriguez only, the relocation of the NEO by more than 25 miles; or (iii) any action or inaction that constitutes a material breach by us or any of our successors of its obligations to the NEO under the employment agreement (or for Dr. Mehta, any other agreement between us and Dr. Mehta).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employment agreements also contain covenants prohibiting the NEOs from competing with us or soliciting our suppliers, employees or customers during employment and for a period of one year following termination.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Non-Employee Director Compensation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non-employee members of our Board are eligible to receive compensation for their service on our Board. Under our director compensation program, during 2025 each non-employee director was eligible to receive an option to purchase 17,000 shares of common stock upon such director’s initial election or appointment to the Board. These options were issued to non-employee directors in January 2026. The options granted to our non-employee directors have an exercise price equal to the fair market value of our common stock on the date of grant and expire not later than ten years after the date of grant. The stock options granted upon a director’s initial election or appointment vest in three substantially equal annual installments following the date of grant. The stock options granted annually to directors vest in a single installment on the earlier of the day before the next annual meeting or the first anniversary of the date of grant. In addition, all unvested stock options vest in full upon the occurrence of a change in control.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our non-employee directors were eligible to receive cash retainers for service on our Board and committees of our Board during 2025 as set forth in the table below. </w:t>
      </w:r>
    </w:p>
    <w:p>
      <w:pPr>
        <w:pStyle w:val="TextBody"/>
        <w:bidi w:val="0"/>
        <w:spacing w:before="0" w:after="0"/>
        <w:ind w:left="0" w:right="0" w:hanging="0"/>
        <w:jc w:val="left"/>
        <w:rPr/>
      </w:pPr>
      <w:r>
        <w:rPr/>
        <w:t>​</w:t>
      </w:r>
    </w:p>
    <w:tbl>
      <w:tblPr>
        <w:tblW w:w="7459" w:type="dxa"/>
        <w:jc w:val="left"/>
        <w:tblInd w:w="0" w:type="dxa"/>
        <w:tblLayout w:type="fixed"/>
        <w:tblCellMar>
          <w:top w:w="0" w:type="dxa"/>
          <w:left w:w="0" w:type="dxa"/>
          <w:bottom w:w="0" w:type="dxa"/>
          <w:right w:w="0" w:type="dxa"/>
        </w:tblCellMar>
      </w:tblPr>
      <w:tblGrid>
        <w:gridCol w:w="6181"/>
        <w:gridCol w:w="346"/>
        <w:gridCol w:w="211"/>
        <w:gridCol w:w="721"/>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924935" cy="175260"/>
                      <wp:effectExtent l="0" t="0" r="0" b="0"/>
                      <wp:wrapNone/>
                      <wp:docPr id="98" name="Frame94"/>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9"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0"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57835" cy="175260"/>
                      <wp:effectExtent l="0" t="0" r="0" b="0"/>
                      <wp:wrapNone/>
                      <wp:docPr id="101" name="Frame9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Board Fee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 of Board or Lead Independent Director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 of Audit Committee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 of Compensation Committee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 of Nominating and Corporate Governance Committee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of Audit Committee (non-Chair)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of Compensation Committee (non-Chair)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of Nominating and Corporate Governance Committee (non-Chair)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5,000</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Director fees under the program are payable in arrears in four equal quarterly installments not later than the fifteenth day following the final day of each calendar quarter, </w:t>
      </w:r>
      <w:r>
        <w:rPr>
          <w:rFonts w:ascii="Times New Roman;Times;serif" w:hAnsi="Times New Roman;Times;serif"/>
          <w:i/>
          <w:sz w:val="20"/>
        </w:rPr>
        <w:t>provided</w:t>
      </w:r>
      <w:r>
        <w:rPr>
          <w:rFonts w:ascii="Times New Roman;Times;serif" w:hAnsi="Times New Roman;Times;serif"/>
          <w:sz w:val="20"/>
        </w:rPr>
        <w:t xml:space="preserve"> that the amount of each payment will be prorated for any portion of a quarter that a director is not serving on our board. </w:t>
      </w:r>
    </w:p>
    <w:p>
      <w:pPr>
        <w:pStyle w:val="TextBody"/>
        <w:bidi w:val="0"/>
        <w:spacing w:before="0" w:after="200"/>
        <w:ind w:left="0" w:right="0" w:firstLine="360"/>
        <w:jc w:val="left"/>
        <w:rPr>
          <w:rFonts w:ascii="Times New Roman;Times;serif" w:hAnsi="Times New Roman;Times;serif"/>
          <w:sz w:val="20"/>
        </w:rPr>
      </w:pPr>
      <w:bookmarkStart w:id="87" w:name="_Toc187748857"/>
      <w:bookmarkEnd w:id="87"/>
      <w:r>
        <w:rPr>
          <w:rFonts w:ascii="Times New Roman;Times;serif" w:hAnsi="Times New Roman;Times;serif"/>
          <w:sz w:val="20"/>
        </w:rPr>
        <w:t xml:space="preserve">We also reimburse all of our non-employee directors for all reasonable and customary business expenses in accordance with company policy.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Director Compensation Table</w:t>
      </w:r>
      <w:r>
        <w:rPr>
          <w:rFonts w:ascii="Times New Roman;Times;serif" w:hAnsi="Times New Roman;Times;serif"/>
          <w:sz w:val="20"/>
        </w:rPr>
        <w: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sets forth information for the year ended December 31, 2025 regarding the compensation awarded to, earned by or paid to our non-employee directors: </w:t>
      </w:r>
    </w:p>
    <w:tbl>
      <w:tblPr>
        <w:tblW w:w="8092" w:type="dxa"/>
        <w:jc w:val="left"/>
        <w:tblInd w:w="0" w:type="dxa"/>
        <w:tblLayout w:type="fixed"/>
        <w:tblCellMar>
          <w:top w:w="0" w:type="dxa"/>
          <w:left w:w="0" w:type="dxa"/>
          <w:bottom w:w="0" w:type="dxa"/>
          <w:right w:w="0" w:type="dxa"/>
        </w:tblCellMar>
      </w:tblPr>
      <w:tblGrid>
        <w:gridCol w:w="2146"/>
        <w:gridCol w:w="346"/>
        <w:gridCol w:w="255"/>
        <w:gridCol w:w="945"/>
        <w:gridCol w:w="346"/>
        <w:gridCol w:w="289"/>
        <w:gridCol w:w="926"/>
        <w:gridCol w:w="346"/>
        <w:gridCol w:w="420"/>
        <w:gridCol w:w="690"/>
        <w:gridCol w:w="346"/>
        <w:gridCol w:w="211"/>
        <w:gridCol w:w="82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62710" cy="175260"/>
                      <wp:effectExtent l="0" t="0" r="0" b="0"/>
                      <wp:wrapNone/>
                      <wp:docPr id="102" name="Frame9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3"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1925" cy="175260"/>
                      <wp:effectExtent l="0" t="0" r="0" b="0"/>
                      <wp:wrapNone/>
                      <wp:docPr id="104" name="Frame10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00075" cy="175260"/>
                      <wp:effectExtent l="0" t="0" r="0" b="0"/>
                      <wp:wrapNone/>
                      <wp:docPr id="105" name="Frame101"/>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6"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3515" cy="175260"/>
                      <wp:effectExtent l="0" t="0" r="0" b="0"/>
                      <wp:wrapNone/>
                      <wp:docPr id="107" name="Frame103"/>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88010" cy="175260"/>
                      <wp:effectExtent l="0" t="0" r="0" b="0"/>
                      <wp:wrapNone/>
                      <wp:docPr id="108" name="Frame104"/>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9"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66700" cy="175260"/>
                      <wp:effectExtent l="0" t="0" r="0" b="0"/>
                      <wp:wrapNone/>
                      <wp:docPr id="110" name="Frame10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8150" cy="175260"/>
                      <wp:effectExtent l="0" t="0" r="0" b="0"/>
                      <wp:wrapNone/>
                      <wp:docPr id="111" name="Frame10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2"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3"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24510" cy="175260"/>
                      <wp:effectExtent l="0" t="0" r="0" b="0"/>
                      <wp:wrapNone/>
                      <wp:docPr id="114" name="Frame11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 or</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 Cash</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1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Peter Mueller, Ph.D.</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130,000</w:t>
            </w:r>
          </w:p>
        </w:tc>
        <w:tc>
          <w:tcPr>
            <w:tcW w:w="346"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130,000</w:t>
            </w:r>
          </w:p>
        </w:tc>
      </w:tr>
      <w:tr>
        <w:trPr/>
        <w:tc>
          <w:tcPr>
            <w:tcW w:w="21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Sandeep Laumas, M.D.</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92,500</w:t>
            </w:r>
          </w:p>
        </w:tc>
        <w:tc>
          <w:tcPr>
            <w:tcW w:w="346"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92,500</w:t>
            </w:r>
          </w:p>
        </w:tc>
      </w:tr>
      <w:tr>
        <w:trPr/>
        <w:tc>
          <w:tcPr>
            <w:tcW w:w="21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Michal Votruba, M.D.</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c>
          <w:tcPr>
            <w:tcW w:w="346" w:type="dxa"/>
            <w:tcBorders/>
            <w:shd w:fill="CCEEFF" w:val="clear"/>
            <w:vAlign w:val="center"/>
          </w:tcPr>
          <w:p>
            <w:pPr>
              <w:pStyle w:val="TableContents"/>
              <w:bidi w:val="0"/>
              <w:spacing w:before="0" w:after="0"/>
              <w:ind w:left="0" w:right="0" w:hanging="0"/>
              <w:jc w:val="right"/>
              <w:rPr/>
            </w:pPr>
            <w:r>
              <w:rPr/>
              <w:t> </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r>
      <w:tr>
        <w:trPr/>
        <w:tc>
          <w:tcPr>
            <w:tcW w:w="21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June Bray</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46" w:type="dxa"/>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r>
      <w:tr>
        <w:trPr/>
        <w:tc>
          <w:tcPr>
            <w:tcW w:w="21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Miller</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c>
          <w:tcPr>
            <w:tcW w:w="346" w:type="dxa"/>
            <w:tcBorders/>
            <w:shd w:fill="CCEEFF" w:val="clear"/>
            <w:vAlign w:val="center"/>
          </w:tcPr>
          <w:p>
            <w:pPr>
              <w:pStyle w:val="TableContents"/>
              <w:bidi w:val="0"/>
              <w:spacing w:before="0" w:after="0"/>
              <w:ind w:left="0" w:right="0" w:hanging="0"/>
              <w:jc w:val="right"/>
              <w:rPr/>
            </w:pPr>
            <w:r>
              <w:rPr/>
              <w:t> </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Mack</w:t>
            </w:r>
          </w:p>
        </w:tc>
        <w:tc>
          <w:tcPr>
            <w:tcW w:w="34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65,625</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65,625</w:t>
            </w:r>
          </w:p>
        </w:tc>
      </w:tr>
      <w:tr>
        <w:trPr/>
        <w:tc>
          <w:tcPr>
            <w:tcW w:w="21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Rajiv Patni</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57,500</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12,991</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70,491</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The amounts reported represent the grant date fair value of stock options granted to our non-employee directors as computed in accordance with ASC 718. Note that the amounts reported in this column reflect the accounting cost for these stock options and do not correspond to the actual economic value that may be received by the recipients from the options. We provide information regarding the assumptions used to calculate the value of the option awards in Note 12 to our financial statements included in our Annual Report on Form 10-K for the year ended December 31, 2025.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(2)</w:t>
            </w:r>
          </w:p>
        </w:tc>
        <w:tc>
          <w:tcPr>
            <w:tcW w:w="9878"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As of December 31, 2025, Dr. Mueller held options to purchase an aggregate of 16,667 shares of our common stock, all of which were exercisable.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(3)</w:t>
            </w:r>
          </w:p>
        </w:tc>
        <w:tc>
          <w:tcPr>
            <w:tcW w:w="9878"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As of December 31, 2025, Dr. Laumas held options to purchase an aggregate of 14,028 shares of our common stock, all of which were exercisable.</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(4)</w:t>
            </w:r>
          </w:p>
        </w:tc>
        <w:tc>
          <w:tcPr>
            <w:tcW w:w="9878"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As of December 31, 2025, Dr. Votruba held options to purchase an aggregate of 6,265 shares of our common stock, all of which were exercisable.</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(5)</w:t>
            </w:r>
          </w:p>
        </w:tc>
        <w:tc>
          <w:tcPr>
            <w:tcW w:w="9877"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As of December 31, 2025, Ms. Bray held options to purchase an aggregate of 5,013 shares of our common stock, all of which were exercisable.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(6)</w:t>
            </w:r>
          </w:p>
        </w:tc>
        <w:tc>
          <w:tcPr>
            <w:tcW w:w="9877"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As of December 31, 2025, Mr. Miller held options to purchase an aggregate of 4,001 shares of our common stock, all of which were exercisable.</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(7)</w:t>
            </w:r>
          </w:p>
        </w:tc>
        <w:tc>
          <w:tcPr>
            <w:tcW w:w="9876"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As of December 31, 2025, Mr. Patni held options to purchase an aggregate of 1,854 shares of our common stock, all of which were exercisable.</w:t>
            </w:r>
          </w:p>
        </w:tc>
      </w:tr>
    </w:tbl>
    <w:p>
      <w:pPr>
        <w:pStyle w:val="TextBody"/>
        <w:bidi w:val="0"/>
        <w:spacing w:before="0" w:after="200"/>
        <w:ind w:left="0" w:right="0" w:hanging="0"/>
        <w:jc w:val="left"/>
        <w:rPr>
          <w:rFonts w:ascii="Times New Roman;Times;serif" w:hAnsi="Times New Roman;Times;serif"/>
          <w:b/>
          <w:sz w:val="20"/>
        </w:rPr>
      </w:pPr>
      <w:bookmarkStart w:id="88" w:name="Item_12"/>
      <w:bookmarkEnd w:id="88"/>
      <w:r>
        <w:rPr>
          <w:rFonts w:ascii="Times New Roman;Times;serif" w:hAnsi="Times New Roman;Times;serif"/>
          <w:b/>
          <w:sz w:val="20"/>
        </w:rPr>
        <w:t>Item 12. Security Ownership of Certain Beneficial Owners and Management and Related Stockholder Matters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sets forth information relating to the beneficial ownership of our common stock as of March 26, 2026 by: </w:t>
      </w:r>
    </w:p>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person, or group of affiliated persons, known by us to beneficially own more than 5% of our outstanding shares of common stock; </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our directors; </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our named executive officers for 2025; and </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our current directors and executive officers as a group. </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percentage of shares beneficially owned is computed on the basis of 27,074,586 shares of our common stock outstanding as of March 26, 2026. Shares of our common stock that a person has the right to acquire within 60 days of March 26,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555 Long Wharf Drive, New Haven, CT 06511. </w:t>
      </w:r>
    </w:p>
    <w:p>
      <w:pPr>
        <w:pStyle w:val="TextBody"/>
        <w:bidi w:val="0"/>
        <w:spacing w:before="0" w:after="0"/>
        <w:ind w:left="0" w:right="0" w:firstLine="360"/>
        <w:jc w:val="left"/>
        <w:rPr/>
      </w:pPr>
      <w:r>
        <w:rPr/>
        <w:t>​</w:t>
      </w:r>
    </w:p>
    <w:tbl>
      <w:tblPr>
        <w:tblW w:w="9651" w:type="dxa"/>
        <w:jc w:val="left"/>
        <w:tblInd w:w="0" w:type="dxa"/>
        <w:tblLayout w:type="fixed"/>
        <w:tblCellMar>
          <w:top w:w="0" w:type="dxa"/>
          <w:left w:w="0" w:type="dxa"/>
          <w:bottom w:w="0" w:type="dxa"/>
          <w:right w:w="0" w:type="dxa"/>
        </w:tblCellMar>
      </w:tblPr>
      <w:tblGrid>
        <w:gridCol w:w="5506"/>
        <w:gridCol w:w="346"/>
        <w:gridCol w:w="1501"/>
        <w:gridCol w:w="346"/>
        <w:gridCol w:w="1636"/>
        <w:gridCol w:w="316"/>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496310" cy="175260"/>
                      <wp:effectExtent l="0" t="0" r="0" b="0"/>
                      <wp:wrapNone/>
                      <wp:docPr id="115" name="Frame111"/>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6"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53135" cy="175260"/>
                      <wp:effectExtent l="0" t="0" r="0" b="0"/>
                      <wp:wrapNone/>
                      <wp:docPr id="117" name="Frame11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8"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038860" cy="175260"/>
                      <wp:effectExtent l="0" t="0" r="0" b="0"/>
                      <wp:wrapNone/>
                      <wp:docPr id="119" name="Frame11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0660" cy="175260"/>
                      <wp:effectExtent l="0" t="0" r="0" b="0"/>
                      <wp:wrapNone/>
                      <wp:docPr id="120" name="Frame1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 Shares</w:t>
            </w:r>
          </w:p>
        </w:tc>
        <w:tc>
          <w:tcPr>
            <w:tcW w:w="316" w:type="dxa"/>
            <w:tcBorders/>
            <w:vAlign w:val="center"/>
          </w:tcPr>
          <w:p>
            <w:pPr>
              <w:pStyle w:val="TableContents"/>
              <w:bidi w:val="0"/>
              <w:spacing w:before="0" w:after="0"/>
              <w:ind w:left="0" w:right="0" w:hanging="0"/>
              <w:jc w:val="left"/>
              <w:rPr/>
            </w:pPr>
            <w:r>
              <w:rPr/>
              <w:t>​</w:t>
            </w:r>
          </w:p>
        </w:tc>
      </w:tr>
      <w:tr>
        <w:trPr/>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46" w:type="dxa"/>
            <w:tcBorders/>
            <w:vAlign w:val="center"/>
          </w:tcPr>
          <w:p>
            <w:pPr>
              <w:pStyle w:val="TableContents"/>
              <w:bidi w:val="0"/>
              <w:spacing w:before="0" w:after="0"/>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46" w:type="dxa"/>
            <w:tcBorders/>
            <w:vAlign w:val="center"/>
          </w:tcPr>
          <w:p>
            <w:pPr>
              <w:pStyle w:val="TableContents"/>
              <w:bidi w:val="0"/>
              <w:spacing w:before="0" w:after="0"/>
              <w:ind w:left="0" w:right="0" w:hanging="0"/>
              <w:jc w:val="center"/>
              <w:rPr/>
            </w:pPr>
            <w:r>
              <w:rPr/>
              <w:t>  ​ ​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16" w:type="dxa"/>
            <w:tcBorders/>
            <w:vAlign w:val="center"/>
          </w:tcPr>
          <w:p>
            <w:pPr>
              <w:pStyle w:val="TableContents"/>
              <w:bidi w:val="0"/>
              <w:spacing w:before="0" w:after="0"/>
              <w:ind w:left="0" w:right="0" w:hanging="0"/>
              <w:jc w:val="left"/>
              <w:rPr/>
            </w:pPr>
            <w:r>
              <w:rPr/>
              <w:t> </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Holders of more than 5%:</w:t>
            </w:r>
          </w:p>
        </w:tc>
        <w:tc>
          <w:tcPr>
            <w:tcW w:w="346" w:type="dxa"/>
            <w:tcBorders/>
            <w:shd w:fill="CCEEFF" w:val="clear"/>
            <w:vAlign w:val="center"/>
          </w:tcPr>
          <w:p>
            <w:pPr>
              <w:pStyle w:val="TableContents"/>
              <w:bidi w:val="0"/>
              <w:spacing w:before="0" w:after="0"/>
              <w:ind w:left="0" w:right="0" w:hanging="0"/>
              <w:jc w:val="center"/>
              <w:rPr/>
            </w:pPr>
            <w:r>
              <w:rPr/>
              <w:t>​</w:t>
            </w:r>
          </w:p>
        </w:tc>
        <w:tc>
          <w:tcPr>
            <w:tcW w:w="150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636" w:type="dxa"/>
            <w:tcBorders/>
            <w:shd w:fill="CCEEFF" w:val="clear"/>
            <w:vAlign w:val="center"/>
          </w:tcPr>
          <w:p>
            <w:pPr>
              <w:pStyle w:val="TableContents"/>
              <w:bidi w:val="0"/>
              <w:spacing w:before="0" w:after="0"/>
              <w:ind w:left="0" w:right="0" w:hanging="0"/>
              <w:jc w:val="center"/>
              <w:rPr/>
            </w:pPr>
            <w:r>
              <w:rPr/>
              <w:t>  ​</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Millenium Management LLC</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1,835,192</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Armistice Capital Master Fund Ltd.</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2,704,751</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Named executive officers and directors: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Vimal Mehta, Ph.D.</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693,967</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Javier Rodriguez</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40,594</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66,338</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June Bray</w:t>
            </w:r>
            <w:r>
              <w:rPr>
                <w:rFonts w:ascii="Times New Roman;Times;serif" w:hAnsi="Times New Roman;Times;serif"/>
                <w:sz w:val="15"/>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Sandeep Laumas, M.D.</w:t>
            </w:r>
            <w:r>
              <w:rPr>
                <w:rFonts w:ascii="Times New Roman;Times;serif" w:hAnsi="Times New Roman;Times;serif"/>
                <w:sz w:val="15"/>
              </w:rPr>
              <w:t>(7)</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14,028</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Miller</w:t>
            </w:r>
            <w:r>
              <w:rPr>
                <w:rFonts w:ascii="Times New Roman;Times;serif" w:hAnsi="Times New Roman;Times;serif"/>
                <w:sz w:val="15"/>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Peter Mueller, Ph.D.</w:t>
            </w:r>
            <w:r>
              <w:rPr>
                <w:rFonts w:ascii="Times New Roman;Times;serif" w:hAnsi="Times New Roman;Times;serif"/>
                <w:sz w:val="15"/>
              </w:rPr>
              <w:t>(9)</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28,354</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Michal Votruba, M.D.</w:t>
            </w:r>
            <w:r>
              <w:rPr>
                <w:rFonts w:ascii="Times New Roman;Times;serif" w:hAnsi="Times New Roman;Times;serif"/>
                <w:sz w:val="15"/>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17,788</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David Mack</w:t>
            </w:r>
            <w:r>
              <w:rPr>
                <w:rFonts w:ascii="Times New Roman;Times;serif" w:hAnsi="Times New Roman;Times;serif"/>
                <w:sz w:val="15"/>
              </w:rPr>
              <w:t>(11)</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20,318</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Rajiv Patni</w:t>
            </w:r>
            <w:r>
              <w:rPr>
                <w:rFonts w:ascii="Times New Roman;Times;serif" w:hAnsi="Times New Roman;Times;serif"/>
                <w:sz w:val="15"/>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346" w:type="dxa"/>
            <w:tcBorders/>
            <w:shd w:fill="CCEEFF" w:val="clear"/>
            <w:vAlign w:val="center"/>
          </w:tcPr>
          <w:p>
            <w:pPr>
              <w:pStyle w:val="TableContents"/>
              <w:bidi w:val="0"/>
              <w:spacing w:before="0" w:after="0"/>
              <w:ind w:left="0" w:right="0" w:hanging="0"/>
              <w:jc w:val="left"/>
              <w:rPr/>
            </w:pPr>
            <w:r>
              <w:rPr/>
              <w:t>​</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i/>
                <w:sz w:val="20"/>
              </w:rPr>
              <w:t>All executive officers and directors as a group</w:t>
            </w:r>
            <w:r>
              <w:rPr>
                <w:rFonts w:ascii="Times New Roman;Times;serif" w:hAnsi="Times New Roman;Times;serif"/>
                <w:sz w:val="20"/>
              </w:rPr>
              <w:t xml:space="preserve"> (11 individuals)</w:t>
            </w:r>
            <w:r>
              <w:rPr>
                <w:rFonts w:ascii="Times New Roman;Times;serif" w:hAnsi="Times New Roman;Times;serif"/>
                <w:sz w:val="15"/>
              </w:rPr>
              <w:t>(13)</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956,618</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0"/>
        <w:ind w:left="0" w:right="0" w:hanging="360"/>
        <w:jc w:val="left"/>
        <w:rPr>
          <w:rFonts w:ascii="Times New Roman;Times;serif" w:hAnsi="Times New Roman;Times;serif"/>
          <w:sz w:val="16"/>
        </w:rPr>
      </w:pPr>
      <w:r>
        <w:rPr>
          <w:rFonts w:ascii="Times New Roman;Times;serif" w:hAnsi="Times New Roman;Times;serif"/>
          <w:sz w:val="16"/>
        </w:rPr>
        <w:t xml:space="preserve">* Represents less than 1%.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Based on a Schedule 13G/A filed on February 6, 2024 by Integrated Core Strategies (US) LLC, Millenium Management LLC, Millenium Group Management LLC and Israel A. Englander, with (i) each reporting shared voting and dispositive power over 1,833,717 shares of common stock and (ii) each of Millenium Management LLC, Millenium Group Management LLC and Mr. Englander reporting shared voting and dispositive power over an additional 1,475 shares of common stock. Such shares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address for (a) Integrated Cores Strategies (US) LLC is c/o Millennium Management LLC, 399 Park Avenue, New York, NY 10022 and (ii) each of Millenium Management LLC and Millenium Group Management LLC is 399 Park Avenue, New York, NY 10022.</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(2)</w:t>
            </w:r>
          </w:p>
        </w:tc>
        <w:tc>
          <w:tcPr>
            <w:tcW w:w="992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Based on information known to us, Armistice Capital Master Fund Ltd. also owns warrants to purchase 5,885,868 shares of our common stock that are exercisable within 60 days of March 26, 2026. The warrants to purchase shares of common stock are directly held by Armistice Capital Master Fund Ltd., a Cayman Islands exempted company (“Master Fund”), and may be deemed to be beneficially owned by: (i) Armistice Capital, LLC (“Armistice Capital”), as the investment manager of Master Fund; and (ii) Steven Boyd, as the Managing Member of Armistice Capital. Armistice Capital has sole voting and dispositive control of the shares reported herein. The address for the stockholder is 510 Madison Avenue, 7th Floor, New York, New York 10022. Warrants held by Armistice Capital are subject to a beneficial ownership limitation of 4.99% or 9.99%, which such limitation restricts the stockholder from exercising that portion of the warrants, as applicable, that would result in the stockholder and its affiliates owning, after exercise, a number of shares of common stock in excess of the beneficial ownership limitation.</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(3)</w:t>
            </w:r>
          </w:p>
        </w:tc>
        <w:tc>
          <w:tcPr>
            <w:tcW w:w="991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Represents for Dr. Mehta: (i) 21,384 shares of common stock (of which 125 shares are owned jointly with Dr. Mehta’s spouse); (ii) options to purchase 124,482 shares of our common stock that can be exercised within 60 days of March 26, 2026; (iii) 67,758 restricted stock units that vest within 60 days of March 26, 2026, and (iv) 480,343 shares of common stock held by BioXcel LLC as to which Dr. Mehta may be deemed to have beneficial ownership.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(4)</w:t>
            </w:r>
          </w:p>
        </w:tc>
        <w:tc>
          <w:tcPr>
            <w:tcW w:w="9904"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Represents for Mr. Steinhart: (i) 6,645 shares of common stock, (ii) options to purchase 33,193 shares of our common stock that can be exercised within 60 days of March 26, 2026, and (iii) 26,500 restricted stock units that vest within 60 days of March 26, 2026.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(5)</w:t>
            </w:r>
          </w:p>
        </w:tc>
        <w:tc>
          <w:tcPr>
            <w:tcW w:w="9904"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Represents for Mr. Rodriguez: (i) 6,863 shares of common stock, (ii) options to purchase 7,231 shares of our common stock that can be exercised within 60 days of March 26, 2026, and (iii) 26,500 restricted stock units that vest within 60 days of March 26, 2026.</w:t>
            </w:r>
          </w:p>
        </w:tc>
      </w:tr>
    </w:tbl>
    <w:tbl>
      <w:tblPr>
        <w:tblW w:w="10052" w:type="dxa"/>
        <w:jc w:val="left"/>
        <w:tblInd w:w="0" w:type="dxa"/>
        <w:tblLayout w:type="fixed"/>
        <w:tblCellMar>
          <w:top w:w="0" w:type="dxa"/>
          <w:left w:w="0" w:type="dxa"/>
          <w:bottom w:w="0" w:type="dxa"/>
          <w:right w:w="0" w:type="dxa"/>
        </w:tblCellMar>
      </w:tblPr>
      <w:tblGrid>
        <w:gridCol w:w="331"/>
        <w:gridCol w:w="9721"/>
      </w:tblGrid>
      <w:tr>
        <w:trPr/>
        <w:tc>
          <w:tcPr>
            <w:tcW w:w="33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(6)</w:t>
            </w:r>
          </w:p>
        </w:tc>
        <w:tc>
          <w:tcPr>
            <w:tcW w:w="972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Represents for Ms. Bray: options to purchase 5,013 shares of our common stock that can be exercised within 60 days of March 26, 2026. </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(7)</w:t>
            </w:r>
          </w:p>
        </w:tc>
        <w:tc>
          <w:tcPr>
            <w:tcW w:w="987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Represents for Dr. Laumas: options to purchase 14,028 shares of our common stock that can be exercised within 60 days of March 26, 2026. </w:t>
            </w:r>
          </w:p>
        </w:tc>
      </w:tr>
    </w:tbl>
    <w:tbl>
      <w:tblPr>
        <w:tblW w:w="10142" w:type="dxa"/>
        <w:jc w:val="left"/>
        <w:tblInd w:w="0" w:type="dxa"/>
        <w:tblLayout w:type="fixed"/>
        <w:tblCellMar>
          <w:top w:w="0" w:type="dxa"/>
          <w:left w:w="0" w:type="dxa"/>
          <w:bottom w:w="0" w:type="dxa"/>
          <w:right w:w="0" w:type="dxa"/>
        </w:tblCellMar>
      </w:tblPr>
      <w:tblGrid>
        <w:gridCol w:w="331"/>
        <w:gridCol w:w="9811"/>
      </w:tblGrid>
      <w:tr>
        <w:trPr/>
        <w:tc>
          <w:tcPr>
            <w:tcW w:w="33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(8)</w:t>
            </w:r>
          </w:p>
        </w:tc>
        <w:tc>
          <w:tcPr>
            <w:tcW w:w="98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Represents for Mr. Miller: options to purchase 4,001 shares of our common stock that can be exercised within 60 days of March 26, 2026.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(9)</w:t>
            </w:r>
          </w:p>
        </w:tc>
        <w:tc>
          <w:tcPr>
            <w:tcW w:w="99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Represents for Dr. Mueller: (i) 11,687 shares of common stock held by Dr. Mueller (including shares of our common stock held by the Peter Mueller 2018 Irrevocable Family Trust, as to which Dr. Mueller serves as trustee); and (ii) options to purchase 16,667 shares of our common stock that can be exercised within 60 days of March 26, 2026. </w:t>
            </w:r>
          </w:p>
        </w:tc>
      </w:tr>
    </w:tbl>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(10)</w:t>
            </w:r>
          </w:p>
        </w:tc>
        <w:tc>
          <w:tcPr>
            <w:tcW w:w="983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Represents for Dr. Votruba: 11,523 shares of our common stock held by RSJ Investments SICAV a.s. (“RSJ/Gradus”) and over which Dr. Votruba, an asset manager at RSJ/Gradus, has voting and/or dispositive power. Also includes options to purchase 6,265 shares of our common stock that can be exercised within 60 days of March 26, 2026, which options Dr. Votruba was granted in respect of his service on our Board but as to which he assigned to RSJ/Gradus pursuant to the policies of RSJ/Gradus regarding stock ownership by employees.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652" w:type="dxa"/>
        <w:jc w:val="left"/>
        <w:tblInd w:w="0" w:type="dxa"/>
        <w:tblLayout w:type="fixed"/>
        <w:tblCellMar>
          <w:top w:w="0" w:type="dxa"/>
          <w:left w:w="0" w:type="dxa"/>
          <w:bottom w:w="0" w:type="dxa"/>
          <w:right w:w="0" w:type="dxa"/>
        </w:tblCellMar>
      </w:tblPr>
      <w:tblGrid>
        <w:gridCol w:w="421"/>
        <w:gridCol w:w="4231"/>
      </w:tblGrid>
      <w:tr>
        <w:trPr/>
        <w:tc>
          <w:tcPr>
            <w:tcW w:w="42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(11)</w:t>
            </w:r>
          </w:p>
        </w:tc>
        <w:tc>
          <w:tcPr>
            <w:tcW w:w="423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Represents for Mr. Mack: 20,318 shares of common stock.</w:t>
            </w:r>
          </w:p>
        </w:tc>
      </w:tr>
    </w:tbl>
    <w:tbl>
      <w:tblPr>
        <w:tblW w:w="9287" w:type="dxa"/>
        <w:jc w:val="left"/>
        <w:tblInd w:w="0" w:type="dxa"/>
        <w:tblLayout w:type="fixed"/>
        <w:tblCellMar>
          <w:top w:w="0" w:type="dxa"/>
          <w:left w:w="0" w:type="dxa"/>
          <w:bottom w:w="0" w:type="dxa"/>
          <w:right w:w="0" w:type="dxa"/>
        </w:tblCellMar>
      </w:tblPr>
      <w:tblGrid>
        <w:gridCol w:w="421"/>
        <w:gridCol w:w="8866"/>
      </w:tblGrid>
      <w:tr>
        <w:trPr/>
        <w:tc>
          <w:tcPr>
            <w:tcW w:w="42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(12)</w:t>
            </w:r>
          </w:p>
        </w:tc>
        <w:tc>
          <w:tcPr>
            <w:tcW w:w="886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Represents for Mr. Patni: options to purchase 1,854 shares of our common stock that vest within 60 days of March 26, 2026.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(13)</w:t>
            </w:r>
          </w:p>
        </w:tc>
        <w:tc>
          <w:tcPr>
            <w:tcW w:w="980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Includes options to purchase 244,077 shares of our common stock that can be exercised within 60 days of March 26, 2026 and 147,258 RSUs that vest within 60 days of March 26, 2026. </w:t>
            </w:r>
          </w:p>
        </w:tc>
      </w:tr>
    </w:tbl>
    <w:p>
      <w:pPr>
        <w:pStyle w:val="TextBody"/>
        <w:pBdr/>
        <w:bidi w:val="0"/>
        <w:spacing w:before="0" w:after="0"/>
        <w:ind w:left="0" w:right="0" w:hanging="360"/>
        <w:jc w:val="left"/>
        <w:rPr/>
      </w:pPr>
      <w:r>
        <w:rPr/>
        <w:t>​</w:t>
      </w:r>
    </w:p>
    <w:p>
      <w:pPr>
        <w:pStyle w:val="TextBody"/>
        <w:pBdr/>
        <w:bidi w:val="0"/>
        <w:spacing w:before="0" w:after="0"/>
        <w:ind w:left="0" w:right="0" w:hanging="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provides certain information with respect to the Company’s equity compensation plans in effect as of December 31, 2025: </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316"/>
        <w:gridCol w:w="346"/>
        <w:gridCol w:w="1468"/>
        <w:gridCol w:w="262"/>
        <w:gridCol w:w="367"/>
        <w:gridCol w:w="1181"/>
        <w:gridCol w:w="346"/>
        <w:gridCol w:w="109"/>
        <w:gridCol w:w="1810"/>
      </w:tblGrid>
      <w:tr>
        <w:trPr/>
        <w:tc>
          <w:tcPr>
            <w:tcW w:w="4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740660" cy="175260"/>
                      <wp:effectExtent l="0" t="0" r="0" b="0"/>
                      <wp:wrapNone/>
                      <wp:docPr id="121" name="Frame117"/>
                      <a:graphic xmlns:a="http://schemas.openxmlformats.org/drawingml/2006/main">
                        <a:graphicData uri="http://schemas.microsoft.com/office/word/2010/wordprocessingShape">
                          <wps:wsp>
                            <wps:cNvSpPr txBox="1"/>
                            <wps:spPr>
                              <a:xfrm>
                                <a:off x="0" y="0"/>
                                <a:ext cx="274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2"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32180" cy="175260"/>
                      <wp:effectExtent l="0" t="0" r="0" b="0"/>
                      <wp:wrapNone/>
                      <wp:docPr id="123" name="Frame119"/>
                      <a:graphic xmlns:a="http://schemas.openxmlformats.org/drawingml/2006/main">
                        <a:graphicData uri="http://schemas.microsoft.com/office/word/2010/wordprocessingShape">
                          <wps:wsp>
                            <wps:cNvSpPr txBox="1"/>
                            <wps:spPr>
                              <a:xfrm>
                                <a:off x="0" y="0"/>
                                <a:ext cx="932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6370" cy="175260"/>
                      <wp:effectExtent l="0" t="0" r="0" b="0"/>
                      <wp:wrapNone/>
                      <wp:docPr id="124" name="Frame12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33045" cy="175260"/>
                      <wp:effectExtent l="0" t="0" r="0" b="0"/>
                      <wp:wrapNone/>
                      <wp:docPr id="125" name="Frame12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49935" cy="175260"/>
                      <wp:effectExtent l="0" t="0" r="0" b="0"/>
                      <wp:wrapNone/>
                      <wp:docPr id="126" name="Frame122"/>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7"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8"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149350" cy="175260"/>
                      <wp:effectExtent l="0" t="0" r="0" b="0"/>
                      <wp:wrapNone/>
                      <wp:docPr id="129" name="Frame125"/>
                      <a:graphic xmlns:a="http://schemas.openxmlformats.org/drawingml/2006/main">
                        <a:graphicData uri="http://schemas.microsoft.com/office/word/2010/wordprocessingShape">
                          <wps:wsp>
                            <wps:cNvSpPr txBox="1"/>
                            <wps:spPr>
                              <a:xfrm>
                                <a:off x="0" y="0"/>
                                <a:ext cx="1149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8"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8"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available</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262"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future issuance</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be issued upon</w:t>
            </w:r>
          </w:p>
        </w:tc>
        <w:tc>
          <w:tcPr>
            <w:tcW w:w="262" w:type="dxa"/>
            <w:tcBorders/>
            <w:vAlign w:val="center"/>
          </w:tcPr>
          <w:p>
            <w:pPr>
              <w:pStyle w:val="TableContents"/>
              <w:bidi w:val="0"/>
              <w:spacing w:before="0" w:after="0"/>
              <w:ind w:left="0" w:right="0" w:hanging="0"/>
              <w:jc w:val="left"/>
              <w:rPr/>
            </w:pPr>
            <w:r>
              <w:rPr/>
              <w:t>​</w:t>
            </w:r>
          </w:p>
        </w:tc>
        <w:tc>
          <w:tcPr>
            <w:tcW w:w="15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46" w:type="dxa"/>
            <w:tcBorders/>
            <w:vAlign w:val="center"/>
          </w:tcPr>
          <w:p>
            <w:pPr>
              <w:pStyle w:val="TableContents"/>
              <w:bidi w:val="0"/>
              <w:spacing w:before="0" w:after="0"/>
              <w:ind w:left="0" w:right="0" w:hanging="0"/>
              <w:jc w:val="left"/>
              <w:rPr/>
            </w:pPr>
            <w:r>
              <w:rPr/>
              <w:t>​</w:t>
            </w:r>
          </w:p>
        </w:tc>
        <w:tc>
          <w:tcPr>
            <w:tcW w:w="19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262" w:type="dxa"/>
            <w:tcBorders/>
            <w:vAlign w:val="center"/>
          </w:tcPr>
          <w:p>
            <w:pPr>
              <w:pStyle w:val="TableContents"/>
              <w:bidi w:val="0"/>
              <w:spacing w:before="0" w:after="0"/>
              <w:ind w:left="0" w:right="0" w:hanging="0"/>
              <w:jc w:val="left"/>
              <w:rPr/>
            </w:pPr>
            <w:r>
              <w:rPr/>
              <w:t>​</w:t>
            </w:r>
          </w:p>
        </w:tc>
        <w:tc>
          <w:tcPr>
            <w:tcW w:w="15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46" w:type="dxa"/>
            <w:tcBorders/>
            <w:vAlign w:val="center"/>
          </w:tcPr>
          <w:p>
            <w:pPr>
              <w:pStyle w:val="TableContents"/>
              <w:bidi w:val="0"/>
              <w:spacing w:before="0" w:after="0"/>
              <w:ind w:left="0" w:right="0" w:hanging="0"/>
              <w:jc w:val="left"/>
              <w:rPr/>
            </w:pPr>
            <w:r>
              <w:rPr/>
              <w:t>​</w:t>
            </w:r>
          </w:p>
        </w:tc>
        <w:tc>
          <w:tcPr>
            <w:tcW w:w="19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 plans</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262" w:type="dxa"/>
            <w:tcBorders/>
            <w:vAlign w:val="center"/>
          </w:tcPr>
          <w:p>
            <w:pPr>
              <w:pStyle w:val="TableContents"/>
              <w:bidi w:val="0"/>
              <w:spacing w:before="0" w:after="0"/>
              <w:ind w:left="0" w:right="0" w:hanging="0"/>
              <w:jc w:val="left"/>
              <w:rPr/>
            </w:pPr>
            <w:r>
              <w:rPr/>
              <w:t>​</w:t>
            </w:r>
          </w:p>
        </w:tc>
        <w:tc>
          <w:tcPr>
            <w:tcW w:w="15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0"/>
              <w:ind w:left="0" w:right="0" w:hanging="0"/>
              <w:jc w:val="left"/>
              <w:rPr/>
            </w:pPr>
            <w:r>
              <w:rPr/>
              <w:t>​</w:t>
            </w:r>
          </w:p>
        </w:tc>
        <w:tc>
          <w:tcPr>
            <w:tcW w:w="19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(excluding securities</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262" w:type="dxa"/>
            <w:tcBorders/>
            <w:vAlign w:val="center"/>
          </w:tcPr>
          <w:p>
            <w:pPr>
              <w:pStyle w:val="TableContents"/>
              <w:bidi w:val="0"/>
              <w:spacing w:before="0" w:after="0"/>
              <w:ind w:left="0" w:right="0" w:hanging="0"/>
              <w:jc w:val="left"/>
              <w:rPr/>
            </w:pPr>
            <w:r>
              <w:rPr/>
              <w:t>​</w:t>
            </w:r>
          </w:p>
        </w:tc>
        <w:tc>
          <w:tcPr>
            <w:tcW w:w="15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0"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reflected in column (a))</w:t>
            </w:r>
            <w:r>
              <w:rPr>
                <w:rFonts w:ascii="Times New Roman;Times;serif" w:hAnsi="Times New Roman;Times;serif"/>
                <w:b/>
                <w:sz w:val="12"/>
              </w:rPr>
              <w:t>(4)</w:t>
            </w:r>
          </w:p>
        </w:tc>
      </w:tr>
      <w:tr>
        <w:trPr/>
        <w:tc>
          <w:tcPr>
            <w:tcW w:w="4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0"/>
              <w:ind w:left="0" w:right="0" w:hanging="0"/>
              <w:jc w:val="center"/>
              <w:rPr/>
            </w:pPr>
            <w:r>
              <w:rPr/>
              <w:t>  ​ ​ ​</w:t>
            </w:r>
          </w:p>
        </w:tc>
        <w:tc>
          <w:tcPr>
            <w:tcW w:w="14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262" w:type="dxa"/>
            <w:tcBorders/>
            <w:vAlign w:val="center"/>
          </w:tcPr>
          <w:p>
            <w:pPr>
              <w:pStyle w:val="TableContents"/>
              <w:bidi w:val="0"/>
              <w:spacing w:before="0" w:after="0"/>
              <w:ind w:left="0" w:right="0" w:hanging="0"/>
              <w:jc w:val="left"/>
              <w:rPr/>
            </w:pPr>
            <w:r>
              <w:rPr/>
              <w:t>​</w:t>
            </w:r>
          </w:p>
        </w:tc>
        <w:tc>
          <w:tcPr>
            <w:tcW w:w="15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46" w:type="dxa"/>
            <w:tcBorders/>
            <w:vAlign w:val="center"/>
          </w:tcPr>
          <w:p>
            <w:pPr>
              <w:pStyle w:val="TableContents"/>
              <w:bidi w:val="0"/>
              <w:spacing w:before="0" w:after="0"/>
              <w:ind w:left="0" w:right="0" w:hanging="0"/>
              <w:jc w:val="left"/>
              <w:rPr/>
            </w:pPr>
            <w:r>
              <w:rPr/>
              <w:t>  ​ ​ ​</w:t>
            </w:r>
          </w:p>
        </w:tc>
        <w:tc>
          <w:tcPr>
            <w:tcW w:w="1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43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1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458,636</w:t>
            </w:r>
          </w:p>
        </w:tc>
        <w:tc>
          <w:tcPr>
            <w:tcW w:w="2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148,629</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46" w:type="dxa"/>
            <w:tcBorders/>
            <w:vAlign w:val="center"/>
          </w:tcPr>
          <w:p>
            <w:pPr>
              <w:pStyle w:val="TableContents"/>
              <w:bidi w:val="0"/>
              <w:spacing w:before="0" w:after="0"/>
              <w:ind w:left="0" w:right="0" w:hanging="0"/>
              <w:jc w:val="center"/>
              <w:rPr/>
            </w:pPr>
            <w:r>
              <w:rPr/>
              <w:t>​</w:t>
            </w:r>
          </w:p>
        </w:tc>
        <w:tc>
          <w:tcPr>
            <w:tcW w:w="1468" w:type="dxa"/>
            <w:tcBorders/>
            <w:vAlign w:val="center"/>
          </w:tcPr>
          <w:p>
            <w:pPr>
              <w:pStyle w:val="TableContents"/>
              <w:bidi w:val="0"/>
              <w:spacing w:before="0" w:after="0"/>
              <w:ind w:left="0" w:right="0" w:hanging="0"/>
              <w:jc w:val="right"/>
              <w:rPr/>
            </w:pPr>
            <w:r>
              <w:rPr/>
              <w:t>—</w:t>
            </w:r>
          </w:p>
        </w:tc>
        <w:tc>
          <w:tcPr>
            <w:tcW w:w="262"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810" w:type="dxa"/>
            <w:tcBorders/>
            <w:vAlign w:val="center"/>
          </w:tcPr>
          <w:p>
            <w:pPr>
              <w:pStyle w:val="TableContents"/>
              <w:bidi w:val="0"/>
              <w:spacing w:before="0" w:after="0"/>
              <w:ind w:left="0" w:right="0" w:hanging="0"/>
              <w:jc w:val="righ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center"/>
              <w:rPr/>
            </w:pPr>
            <w:r>
              <w:rPr/>
              <w:t>​</w:t>
            </w:r>
          </w:p>
        </w:tc>
        <w:tc>
          <w:tcPr>
            <w:tcW w:w="1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458,636</w:t>
            </w:r>
          </w:p>
        </w:tc>
        <w:tc>
          <w:tcPr>
            <w:tcW w:w="262"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0"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148,629</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04"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Consists of the BioXcel Therapeutics, Inc. 2017 Incentive Award Plan (the “2017 Plan”), the BioXcel Therapeutics, Inc. 2020 Incentive Award Plan (the “2020 Plan”) and the BioXcel Therapeutics, Inc. 2020 Employee Stock Purchase Plan (the “2020 ESPP”). </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(2)</w:t>
            </w:r>
          </w:p>
        </w:tc>
        <w:tc>
          <w:tcPr>
            <w:tcW w:w="9889"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Includes 112,027 outstanding options to purchase shares under the 2017 Plan, 106,632 restricted stock units and 239,977 outstanding options to purchase shares under the 2020 Plan.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(3)</w:t>
            </w:r>
          </w:p>
        </w:tc>
        <w:tc>
          <w:tcPr>
            <w:tcW w:w="991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As of December 31, 2025, the weighted-average exercise price of outstanding options under the 2017 Plan was $55.24 and the weighted-average exercise price of outstanding options under the 2020 Plan was $271.70. The weighted average exercise price of outstanding awards does not take into account the shares issuable upon vesting of outstanding performance-based units and restricted stock units which have no exercise price.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(4)</w:t>
            </w:r>
          </w:p>
        </w:tc>
        <w:tc>
          <w:tcPr>
            <w:tcW w:w="993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Includes 42,309 shares available for future issuance under the 2020 Plan and 106,320 shares available for issuance under the 2020 ESPP. Following the effective date of the 2020 Plan, we ceased making grants under the 2017 Plan. To the extent outstanding awards under the 2017 Plan are forfeited or lapse unexercised, the shares of common stock subject to such awards will be available for issuance under the 2020 Plan. The 2020 Plan provides for an annual increase to the number of shares available for issuance thereunder on the first day of each calendar year beginning on January 1, 2021 and ending on and including January 1, 2030, by an amount equal to the lesser of (i) 4% of the aggregate number of shares of common stock outstanding on the final day of the immediately preceding calendar year and (ii) such smaller number of shares of common stock as determined by our board of directors (but no more than 625,000 shares may be issued upon the exercise of incentive stock options). The 2020 ESPP provides for an annual increase to the number of shares available for issuance thereunder on the first day of each calendar year beginning on January 1, 2021 and ending on and including January 1, 2030, by an amount equal to the lesser of (i) 1% of the aggregate number of shares of common stock outstanding on the final day of the immediately preceding calendar year and (ii) such smaller number of shares of common stock as is determined by our board of directors, provided that no more than 31,250 shares of our common stock may be issued under the component of the 2020 ESPP that is intended to qualified under Section 423 of the Code. As of the date of this Annual Report, we have not commenced offering periods under the 2020 ESPP. </w:t>
            </w:r>
          </w:p>
        </w:tc>
      </w:tr>
    </w:tbl>
    <w:p>
      <w:pPr>
        <w:pStyle w:val="TextBody"/>
        <w:pBdr/>
        <w:bidi w:val="0"/>
        <w:spacing w:before="0" w:after="0"/>
        <w:ind w:left="0" w:right="0" w:hanging="360"/>
        <w:jc w:val="left"/>
        <w:rPr/>
      </w:pPr>
      <w:r>
        <w:rPr/>
        <w:t>​</w:t>
      </w:r>
    </w:p>
    <w:p>
      <w:pPr>
        <w:pStyle w:val="TextBody"/>
        <w:bidi w:val="0"/>
        <w:spacing w:before="0" w:after="200"/>
        <w:ind w:left="0" w:right="0" w:hanging="0"/>
        <w:jc w:val="left"/>
        <w:rPr>
          <w:rFonts w:ascii="Times New Roman;Times;serif" w:hAnsi="Times New Roman;Times;serif"/>
          <w:b/>
          <w:sz w:val="20"/>
        </w:rPr>
      </w:pPr>
      <w:bookmarkStart w:id="89" w:name="Item_13"/>
      <w:bookmarkStart w:id="90" w:name="_Toc187748864"/>
      <w:bookmarkEnd w:id="89"/>
      <w:bookmarkEnd w:id="90"/>
      <w:r>
        <w:rPr>
          <w:rFonts w:ascii="Times New Roman;Times;serif" w:hAnsi="Times New Roman;Times;serif"/>
          <w:b/>
          <w:sz w:val="20"/>
        </w:rPr>
        <w:t>Item 13. Certain Relationships and Related Transactions, and Director Independence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Certain Relationships and Related Transactions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March 2024 Registered Direct Offering</w:t>
      </w:r>
      <w:r>
        <w:rPr>
          <w:rFonts w:ascii="Times New Roman;Times;serif" w:hAnsi="Times New Roman;Times;serif"/>
          <w:sz w:val="20"/>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27, 2024, we completed a registered direct offering, which resulted in the issuance and sale of (i) 190,913 shares of our common stock, (ii) pre-funded warrants to purchase up to 347,814 shares of our common stock at an exercise price of $0.016 per share and (iii) accompanying warrants to purchase up to 538,728 shares of our common stock at an exercise price of $51.20 per share. The combined offering price of the common stock and accompanying warrants was $46.416 per share and share underlying each accompanying warrant, and the combined offering price of the Armistice pre-funded warrants and accompanying warrants was $46.40 per share underlying each pre-funded warrant and accompanying warrant. The Armistice pre-funded warrants and the accompanying warrants are exercisable at any time after the date of issuance, however, the accompanying warrants will expire on the fifth anniversary of the date of issuance. A holder of Armistice pre-funded warrants will not be entitled to exercise any portion of such Armistice pre-funded warrants which, upon giving effect to such exercise, would cause (i) the aggregate number of shares of our common stock beneficially owned by the holder (together with its affiliates) to exceed 9.99% of the number of shares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Armistice Pre-Funded Warrants. A holder of Accompanying Warrants will not be entitled to exercise any portion of such Accompanying Warrants which, upon giving effect to such exercise, would cause (i) the aggregate number of shares of our common stock beneficially owned by the holder (together with its affiliates) to exceed 4.99% of the number of shares of our common stock outstanding immediately after giving effect to 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Accompanying Warrants. In each case, such percentages may be increased by a holder of Armistice Warrants to any other percentage not in excess of 19.99% upon at least 61 days’ prior notice from the holder to us. We received net proceeds of approximately $24.9 million from this offering, after deducting offering expenses. The following table sets forth the aggregate number of shares of our common stock and shares of common stock underlying the Armistice Warrants acquired in the offering by holders of more than 5% of our common stock, including entities that became holders of more than 5% of our common stock as a result of the registered direct offering. On November 21, 2024, the exercise price of warrants to purchase 538,728 shares of common stock issued in March 2024 Registered Direct Offering described here was reduced to $9.136 per share.</w:t>
      </w:r>
    </w:p>
    <w:tbl>
      <w:tblPr>
        <w:tblW w:w="8915" w:type="dxa"/>
        <w:jc w:val="left"/>
        <w:tblInd w:w="0" w:type="dxa"/>
        <w:tblLayout w:type="fixed"/>
        <w:tblCellMar>
          <w:top w:w="0" w:type="dxa"/>
          <w:left w:w="0" w:type="dxa"/>
          <w:bottom w:w="0" w:type="dxa"/>
          <w:right w:w="0" w:type="dxa"/>
        </w:tblCellMar>
      </w:tblPr>
      <w:tblGrid>
        <w:gridCol w:w="2986"/>
        <w:gridCol w:w="346"/>
        <w:gridCol w:w="781"/>
        <w:gridCol w:w="346"/>
        <w:gridCol w:w="961"/>
        <w:gridCol w:w="346"/>
        <w:gridCol w:w="1186"/>
        <w:gridCol w:w="346"/>
        <w:gridCol w:w="211"/>
        <w:gridCol w:w="140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96110" cy="175260"/>
                      <wp:effectExtent l="0" t="0" r="0" b="0"/>
                      <wp:wrapNone/>
                      <wp:docPr id="130" name="Frame126"/>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1"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2" name="Frame1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3"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10235" cy="175260"/>
                      <wp:effectExtent l="0" t="0" r="0" b="0"/>
                      <wp:wrapNone/>
                      <wp:docPr id="134" name="Frame13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5"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53110" cy="175260"/>
                      <wp:effectExtent l="0" t="0" r="0" b="0"/>
                      <wp:wrapNone/>
                      <wp:docPr id="136" name="Frame13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7"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8"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92810" cy="175260"/>
                      <wp:effectExtent l="0" t="0" r="0" b="0"/>
                      <wp:wrapNone/>
                      <wp:docPr id="139" name="Frame135"/>
                      <a:graphic xmlns:a="http://schemas.openxmlformats.org/drawingml/2006/main">
                        <a:graphicData uri="http://schemas.microsoft.com/office/word/2010/wordprocessingShape">
                          <wps:wsp>
                            <wps:cNvSpPr txBox="1"/>
                            <wps:spPr>
                              <a:xfrm>
                                <a:off x="0" y="0"/>
                                <a:ext cx="89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Pre-Funded</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Accompanying</w:t>
            </w:r>
          </w:p>
        </w:tc>
        <w:tc>
          <w:tcPr>
            <w:tcW w:w="346" w:type="dxa"/>
            <w:tcBorders/>
            <w:vAlign w:val="center"/>
          </w:tcPr>
          <w:p>
            <w:pPr>
              <w:pStyle w:val="TableContents"/>
              <w:bidi w:val="0"/>
              <w:spacing w:before="0" w:after="0"/>
              <w:ind w:left="0" w:right="0" w:hanging="0"/>
              <w:jc w:val="center"/>
              <w:rPr/>
            </w:pPr>
            <w:r>
              <w:rPr/>
              <w:t>​</w:t>
            </w:r>
          </w:p>
        </w:tc>
        <w:tc>
          <w:tcPr>
            <w:tcW w:w="16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Participants</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0"/>
              <w:ind w:left="0" w:right="0" w:hanging="0"/>
              <w:jc w:val="center"/>
              <w:rPr/>
            </w:pPr>
            <w:r>
              <w:rPr/>
              <w:t>  ​ ​ ​</w:t>
            </w:r>
          </w:p>
        </w:tc>
        <w:tc>
          <w:tcPr>
            <w:tcW w:w="1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Holders of More than 5 %</w:t>
            </w:r>
            <w:r>
              <w:rPr>
                <w:rFonts w:ascii="Times New Roman;Times;serif" w:hAnsi="Times New Roman;Times;serif"/>
                <w:b/>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1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406" w:type="dxa"/>
            <w:tcBorders/>
            <w:shd w:fill="CCEEFF" w:val="clear"/>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Armistice Capital Master Fund Ltd.</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190,913</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347,814</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538,728</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24,999,999.01</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899"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Additional details regarding certain of these stockholders and their equity holdings are provided in this Annual Report under the caption “Stock Ownership - Security Ownership of Certain Beneficial Owners and Management.”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bookmarkStart w:id="91" w:name="_Toc187748865"/>
      <w:bookmarkEnd w:id="91"/>
      <w:r>
        <w:rPr>
          <w:rFonts w:ascii="Times New Roman;Times;serif" w:hAnsi="Times New Roman;Times;serif"/>
          <w:b/>
          <w:i/>
          <w:sz w:val="20"/>
        </w:rPr>
        <w:t>November 2024 Offering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November 25, 2024, we completed an offering, which resulted in the issuance and sale to Armistice Capital of (i) 283,854 shares of our common stock, (ii) pre-funded warrants to purchase up to 562,500 shares of our common stock at an exercise price of $0.016 per share and (iii) accompanying warrants to purchase up to 846,355 shares of our common stock at an exercise price of $7.68 per share. The combined offering price of the common stock and accompanying warrants was $7.68 per share and share underlying each accompanying warrant, and the combined offering price of the Armistice pre-funded warrants and accompanying warrants was $7.664 per share underlying each pre-funded warrant and accompanying warrant. The Armistice pre-funded warrants and the accompanying warrants are exercisable at any time after the date of issuance, however, the accompanying warrants will expire on the fifth anniversary of the date of issuance. A holder of Armistice pre-funded warrants will not be entitled to exercise any portion of such Armistice pre-funded warrants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Armistice pre-funded warrants. A holder of accompanying warrants will not be entitled to exercise any portion of such accompanying warrants which, upon giving effect to such exercise, would cause (i) the aggregate number of shares of our common stock beneficially owned by the holder (together with its affiliates) to exceed 4.99% of the number of shares of our common stock outstanding immediately after giving effect to 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accompanying warrants. In each case, such percentages may be increased by a holder of Armistice Warrants to any other percentage not in excess of 19.99% upon at least 61 days’ prior notice from the holder to us.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March 2025 Offering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3, 2025, we completed a registered direct offering, which resulted in the issuance to Murchison of (i) 188,383 shares of our common stock, (ii) pre-funded warrants to purchase up to 3,811,617 shares of our common stock at an exercise price of $0.001 per share and (iii) accompanying warrants to purchase up to 4,000,000 shares of our common stock at an exercise price of $4.20 per share. The combined offering price of the common stock and accompanying warrants was $3.50 per share and share underlying each accompanying warrant, and the combined offering price of the Murchison pre-funded warrants and accompanying warrants was $3.499 per share underlying each pre-funded warrant and accompanying warrant. The Murchison pre-funded warrants and the accompanying warrants are exercisable at any time after the date of issuance, however, the accompanying warrants will expire on the fifth anniversary of the date of issuance,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March 2025 Offering, we also issued the purchaser option warrants, to purchase up to 4,000,000 shares of common stock (or pre-funded warrants in lieu thereof) and accompanying warrants to purchase up to 4,000,000 shares of common stock. The exercise price of the option warrant is $3.50 per underlying share of common stock or $3.499 per underlying pre-funded warrant to purchase one share of common stock and accompanying warrant. The option accompanying warrants have an exercise price per share of common stock equal to $4.20 per share. The option warrants expired on March 18, 2025 without being exercised.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 holder of Murchison pre-funded warrants will not be entitled to exercise any portion of such Murchison pre-funded warrants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Murchison pre-funded warrants. A holder of accompanying warrants will not be entitled to exercise any portion of such accompanying warrants which, upon giving effect to such exercise, would cause (i) the aggregate number of shares of our common stock beneficially owned by the holder (together with its affiliates) to exceed 4.99% of the number of shares of our common stock outstanding immediately after giving effect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accompanying warrants. In each case, such percentages may be increased by a holder of Murchison Warrants to any other percentage not in excess of 9.99% upon at least 61 days’ prior notice from the holder to us. </w:t>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March 2026 Offering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11, 2026, we completed the March 2026 Offering with Armistice Capital, which resulted in the issuance and sale of (i) an aggregate of 2,480,294 shares of common stock and accompanying warrants to purchase up to 2,480,294 shares of Common Stock at a combined offering price of $1.739 per Share and accompanying warrant, and (ii) pre-funded warrants to purchase up to 2,020,491 shares of Common Stock and accompanying warrants to purchase up to 2,020,491 shares of Common Stock, at a combined offering price of $1.738 per share underlying the Pre-Funded Warrants and accompanying warrant, which equals the offering price per Share and accompanying warrant less the $0.001 exercise price per share of the Pre-Funded Warrants. The Pre-funded Warrants and the Accompanying Warrants are exercisable at any time after the date of issuance, however, the Accompanying Warrants will expire on the fifth anniversary of the date of issuance. Armistice was not able to exercise any portion of the Pre-Funded Warrants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Pre-Funded Warrants. Armistice, will not be entitled to exercise any portion of such Accompanying Warrants which, upon giving effect to such exercise, would cause (i) the aggregate number of shares of our common stock beneficially owned by the holder (together with its affiliates) to exceed 4.99% of the number of shares of our common stock outstanding immediately after giving effect to 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Accompanying Warrants. In each case, such percentages may be increased by such Pre-Funded Warrants or Accompanying Warrants to any other percentage not in excess of 19.99% upon at least 61 days’ prior notice from the holder to us. We received net proceeds of approximately $7.3 million from the March 2026 Offering, after deducting offering expenses. The following table sets forth the aggregate number of shares of our common stock and shares of common stock underlying the Prefunded Warrants and Accompanying Warrants acquired in the offering by holders of more than 5% of our common stock, including entities that became holders of more than 5% of our common stock as a result of the March 2026 Offering.</w:t>
      </w:r>
    </w:p>
    <w:tbl>
      <w:tblPr>
        <w:tblW w:w="8960" w:type="dxa"/>
        <w:jc w:val="left"/>
        <w:tblInd w:w="0" w:type="dxa"/>
        <w:tblLayout w:type="fixed"/>
        <w:tblCellMar>
          <w:top w:w="0" w:type="dxa"/>
          <w:left w:w="0" w:type="dxa"/>
          <w:bottom w:w="0" w:type="dxa"/>
          <w:right w:w="0" w:type="dxa"/>
        </w:tblCellMar>
      </w:tblPr>
      <w:tblGrid>
        <w:gridCol w:w="2986"/>
        <w:gridCol w:w="346"/>
        <w:gridCol w:w="931"/>
        <w:gridCol w:w="346"/>
        <w:gridCol w:w="961"/>
        <w:gridCol w:w="346"/>
        <w:gridCol w:w="1186"/>
        <w:gridCol w:w="346"/>
        <w:gridCol w:w="211"/>
        <w:gridCol w:w="130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96110" cy="175260"/>
                      <wp:effectExtent l="0" t="0" r="0" b="0"/>
                      <wp:wrapNone/>
                      <wp:docPr id="140" name="Frame136"/>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1"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1185" cy="175260"/>
                      <wp:effectExtent l="0" t="0" r="0" b="0"/>
                      <wp:wrapNone/>
                      <wp:docPr id="142" name="Frame1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3"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10235" cy="175260"/>
                      <wp:effectExtent l="0" t="0" r="0" b="0"/>
                      <wp:wrapNone/>
                      <wp:docPr id="144" name="Frame14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5"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53110" cy="175260"/>
                      <wp:effectExtent l="0" t="0" r="0" b="0"/>
                      <wp:wrapNone/>
                      <wp:docPr id="146" name="Frame14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7"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8"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826135" cy="175260"/>
                      <wp:effectExtent l="0" t="0" r="0" b="0"/>
                      <wp:wrapNone/>
                      <wp:docPr id="149" name="Frame145"/>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301" w:type="dxa"/>
            <w:tcBorders/>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301" w:type="dxa"/>
            <w:tcBorders/>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Pre-Funded</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Accompanying</w:t>
            </w:r>
          </w:p>
        </w:tc>
        <w:tc>
          <w:tcPr>
            <w:tcW w:w="346" w:type="dxa"/>
            <w:tcBorders/>
            <w:vAlign w:val="center"/>
          </w:tcPr>
          <w:p>
            <w:pPr>
              <w:pStyle w:val="TableContents"/>
              <w:bidi w:val="0"/>
              <w:spacing w:before="0" w:after="0"/>
              <w:ind w:left="0" w:right="0" w:hanging="0"/>
              <w:jc w:val="center"/>
              <w:rPr/>
            </w:pPr>
            <w:r>
              <w:rPr/>
              <w:t>​</w:t>
            </w:r>
          </w:p>
        </w:tc>
        <w:tc>
          <w:tcPr>
            <w:tcW w:w="15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Participants</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0"/>
              <w:ind w:left="0" w:right="0" w:hanging="0"/>
              <w:jc w:val="center"/>
              <w:rPr/>
            </w:pPr>
            <w:r>
              <w:rPr/>
              <w:t>  ​ ​ ​</w:t>
            </w:r>
          </w:p>
        </w:tc>
        <w:tc>
          <w:tcPr>
            <w:tcW w:w="1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Holders of More than 5 %</w:t>
            </w:r>
            <w:r>
              <w:rPr>
                <w:rFonts w:ascii="Times New Roman;Times;serif" w:hAnsi="Times New Roman;Times;serif"/>
                <w:b/>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1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shd w:fill="FFFF00" w:val="clear"/>
              </w:rPr>
            </w:pPr>
            <w:r>
              <w:rPr>
                <w:shd w:fill="FFFF00" w:val="clear"/>
              </w:rPr>
              <w:t>​</w:t>
            </w:r>
          </w:p>
        </w:tc>
        <w:tc>
          <w:tcPr>
            <w:tcW w:w="211" w:type="dxa"/>
            <w:tcBorders/>
            <w:shd w:fill="CCEEFF" w:val="clear"/>
            <w:vAlign w:val="center"/>
          </w:tcPr>
          <w:p>
            <w:pPr>
              <w:pStyle w:val="TableContents"/>
              <w:bidi w:val="0"/>
              <w:spacing w:before="0" w:after="0"/>
              <w:ind w:left="0" w:right="0" w:hanging="0"/>
              <w:jc w:val="center"/>
              <w:rPr>
                <w:shd w:fill="FFFF00" w:val="clear"/>
              </w:rPr>
            </w:pPr>
            <w:r>
              <w:rPr>
                <w:shd w:fill="FFFF00" w:val="clear"/>
              </w:rPr>
              <w:t>​</w:t>
            </w:r>
          </w:p>
        </w:tc>
        <w:tc>
          <w:tcPr>
            <w:tcW w:w="1301" w:type="dxa"/>
            <w:tcBorders/>
            <w:shd w:fill="CCEEFF" w:val="clear"/>
            <w:vAlign w:val="center"/>
          </w:tcPr>
          <w:p>
            <w:pPr>
              <w:pStyle w:val="TableContents"/>
              <w:bidi w:val="0"/>
              <w:spacing w:before="0" w:after="0"/>
              <w:ind w:left="0" w:right="0" w:hanging="0"/>
              <w:jc w:val="center"/>
              <w:rPr/>
            </w:pPr>
            <w:r>
              <w:rPr/>
              <w:t>  ​</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Armistice Capital Master Fund Ltd.</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2,480,294</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2,020,491</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4,500,785</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7,824,844.62</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899"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Additional details regarding certain of these stockholders and their equity holdings are provided in this Annual Report under the caption “Stock Ownership - Security Ownership of Certain Beneficial Owners and Management.”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BioXcel LLC</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bookmarkStart w:id="92" w:name="_Toc187748866"/>
      <w:bookmarkEnd w:id="92"/>
      <w:r>
        <w:rPr>
          <w:rFonts w:ascii="Times New Roman;Times;serif" w:hAnsi="Times New Roman;Times;serif"/>
          <w:sz w:val="20"/>
        </w:rPr>
        <w:t xml:space="preserve">BioXcel LLC owned approximately 1.8% of the shares of our outstanding common stock as of March 26, 2026. BioXcel LLC is the successor in interest to BioXcel Corporation, our former parent. BioXcel LLC is a subsidiary of, and majority owned and controlled by BioXcel Holdings, Inc. Vimal Mehta and affiliated trusts are significant stockholders of BioXcel Holdings, Inc. Dr. Mehta is also an executive officer and the sole member of the board of managers of BioXcel Holdings, Inc. and an executive officer and one of two managers of BioXcel LLC and BioXcel Holdings, Inc.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Amended and Restated Asset Contribution Agreement with BioXcel LLC</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entered into an asset contribution agreement, effective June 30, 2017, with BioXcel LLC (formerly BioXcel Corporation), as amended and restated on November 7, 2017, pursuant to which BioXcel LLC contributed to us, and we acquired from BioXcel LLC, all of BioXcel LLC’s rights, title and interest in and to BXCL501, BXCL701, BXCL502 and BXCL702 (collectively, the “Candidates”) and all of the assets and liabilities associated with the Candidates, in consideration for (i) 592,500 shares of our common stock, (ii) $1 million upon completion of our initial public offering (“IPO”), (iii) $500,000 upon the later of the 12 month anniversary of our IPO and the first dosing of a patient in the bridging bioavailability/bioequivalence study for the BXCL501 program, (iv) $500,000 upon the later of the 12 month anniversary of our IPO and the first dosing of a patient in the Phase 2 Proof of Concept open 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Candidates or a product derived therefrom. There were no such payments during the years ended December 31, 2023 or 2024 pursuant to such provisions in the Contribution Agreement.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addition, pursuant to the Contribution Agreement, BioXcel LLC granted us a first right to negotiate exclusive rights to any additional product candidates in the fields of neuroscience and immuno-oncology (the “Option Field”) that BioXcel LLC may identify on its own, excluding the Candidates, and not in connection with BioXcel LLC’s provision of services to us under the Services Agreement as defined and described below. This first right to negotiate an exclusivity period expired on March 12, 2023. </w:t>
      </w:r>
    </w:p>
    <w:p>
      <w:pPr>
        <w:pStyle w:val="TextBody"/>
        <w:bidi w:val="0"/>
        <w:spacing w:before="0" w:after="200"/>
        <w:ind w:left="0" w:right="0" w:firstLine="360"/>
        <w:jc w:val="left"/>
        <w:rPr>
          <w:rFonts w:ascii="Times New Roman;Times;serif" w:hAnsi="Times New Roman;Times;serif"/>
          <w:sz w:val="20"/>
        </w:rPr>
      </w:pPr>
      <w:bookmarkStart w:id="93" w:name="_Toc187748867"/>
      <w:bookmarkEnd w:id="93"/>
      <w:r>
        <w:rPr>
          <w:rFonts w:ascii="Times New Roman;Times;serif" w:hAnsi="Times New Roman;Times;serif"/>
          <w:b/>
          <w:i/>
          <w:sz w:val="20"/>
        </w:rPr>
        <w:t>Amended and Restated Separation and Shared Services Agreement</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entered into a separation and shared services agreement, dated June 30, 2017, or the Effective Date, with BioXcel LLC (formerly BioXcel Corporation), as amended and restated thereafter, pursuant to which services provided by BioXcel LLC through its subsidiaries in India and the United States will continue indefinitely, as agreed upon by the parties. These services are primarily for drug discovery, chemical, manufacturing and controls cost and general and administrative support. Service charges recorded under this agreement were $0.6 million and $1.3 million for each of the years ended December 31, 2025 and 2024.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Under the Services Agreement, the Company has an option, exercisable through December 31, 2024, to enter into a collaborative services agreement with BioXcel LLC pursuant to which BioXcel LLC shall perform product identification and related services for us utilizing EvolverAI. The Company agreed to pay BioXcel LLC $18,000 per month, prorated for any partial month, as applicable, for the period beginning March 13, 2023 and ending December 31, 2024 as consideration for the option.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w:t>
      </w:r>
      <w:r>
        <w:rPr>
          <w:rFonts w:ascii="Times New Roman;Times;serif" w:hAnsi="Times New Roman;Times;serif"/>
          <w:i/>
          <w:sz w:val="20"/>
        </w:rPr>
        <w:t>provided</w:t>
      </w:r>
      <w:r>
        <w:rPr>
          <w:rFonts w:ascii="Times New Roman;Times;serif" w:hAnsi="Times New Roman;Times;serif"/>
          <w:sz w:val="20"/>
        </w:rPr>
        <w:t xml:space="preserve">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w:t>
      </w:r>
    </w:p>
    <w:p>
      <w:pPr>
        <w:pStyle w:val="TextBody"/>
        <w:bidi w:val="0"/>
        <w:spacing w:before="0" w:after="200"/>
        <w:ind w:left="0" w:right="0" w:firstLine="360"/>
        <w:jc w:val="left"/>
        <w:rPr>
          <w:rFonts w:ascii="Times New Roman;Times;serif" w:hAnsi="Times New Roman;Times;serif"/>
          <w:sz w:val="20"/>
        </w:rPr>
      </w:pPr>
      <w:bookmarkStart w:id="94" w:name="_Toc187748870"/>
      <w:bookmarkEnd w:id="94"/>
      <w:r>
        <w:rPr>
          <w:rFonts w:ascii="Times New Roman;Times;serif" w:hAnsi="Times New Roman;Times;serif"/>
          <w:b/>
          <w:i/>
          <w:sz w:val="20"/>
        </w:rPr>
        <w:t>InveniAI</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September 19, 2023, we, Krishnan Nandabalan, Ph.D., a former member of our Board, InveniAI and Invea Therapeutics, Inc., a wholly-owned subsidiary of BioXcel LLC (“Invea”) and the other parties thereto entered into a non-compete agreement pursuant to which Dr. Nandabalan, InveniAI and Invea agreed not to compete with us and our controlled affiliates in the fields of neuroscience and immuno-oncology for a period of five years from September 19, 2023 and not to solicit employees of the Company or its controlled affiliates for a period of two years from September 19, 2023. </w:t>
      </w:r>
    </w:p>
    <w:p>
      <w:pPr>
        <w:pStyle w:val="TextBody"/>
        <w:bidi w:val="0"/>
        <w:spacing w:before="0" w:after="200"/>
        <w:ind w:left="0" w:right="0" w:hanging="0"/>
        <w:jc w:val="left"/>
        <w:rPr>
          <w:rFonts w:ascii="Times New Roman;Times;serif" w:hAnsi="Times New Roman;Times;serif"/>
          <w:sz w:val="20"/>
        </w:rPr>
      </w:pPr>
      <w:bookmarkStart w:id="95" w:name="_Toc187748871"/>
      <w:bookmarkEnd w:id="95"/>
      <w:r>
        <w:rPr>
          <w:rFonts w:ascii="Times New Roman;Times;serif" w:hAnsi="Times New Roman;Times;serif"/>
          <w:b/>
          <w:sz w:val="20"/>
        </w:rPr>
        <w:t>Director and Officer Indemnification and Insurance</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agreed to indemnify each of our directors and executive officers against certain liabilities, costs and expenses, and have purchased directors’ and officers’ liability insurance.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96" w:name="_Toc187748833"/>
      <w:bookmarkEnd w:id="96"/>
      <w:r>
        <w:rPr>
          <w:rFonts w:ascii="Times New Roman;Times;serif" w:hAnsi="Times New Roman;Times;serif"/>
          <w:b/>
          <w:sz w:val="20"/>
        </w:rPr>
        <w:t>Director Independence</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Under our Corporate Governance Guidelines and Nasdaq rules, a director is independent if he or she does not have a material or other disqualifying relationship with us that could compromise his or her ability to exercise independent judgment in carrying out his or her responsibilities as a director. In addition, the director must meet the bright-line tests for independence set forth by the Nasdaq rules.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Board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Ms. Bray, Mr. Miller, Mr. Mack or Drs. Laumas, Mueller, Patni or Votruba, representing seven of our eight current directors, has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us and all other facts and circumstances our Board deemed relevant in determining their independence, including the director’s beneficial ownership of our common stock and the relationships of our non-employee directors with certain of our significant stockholders.</w:t>
      </w:r>
    </w:p>
    <w:p>
      <w:pPr>
        <w:pStyle w:val="TextBody"/>
        <w:bidi w:val="0"/>
        <w:spacing w:before="0" w:after="200"/>
        <w:ind w:left="0" w:right="0" w:hanging="0"/>
        <w:jc w:val="left"/>
        <w:rPr>
          <w:rFonts w:ascii="Times New Roman;Times;serif" w:hAnsi="Times New Roman;Times;serif"/>
          <w:b/>
          <w:sz w:val="20"/>
        </w:rPr>
      </w:pPr>
      <w:bookmarkStart w:id="97" w:name="Item_14"/>
      <w:bookmarkEnd w:id="97"/>
      <w:r>
        <w:rPr>
          <w:rFonts w:ascii="Times New Roman;Times;serif" w:hAnsi="Times New Roman;Times;serif"/>
          <w:b/>
          <w:sz w:val="20"/>
        </w:rPr>
        <w:t>Item 14. Principal Accounting Fees and Services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Audit Committee retained Ernst &amp; Young LLP to audit the Company’s consolidated financial statements for the years ended December 31, 2025 and December 31, 2024.</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table below sets forth the aggregate fees billed to us for services related to the fiscal year ended December 31, 2025 and 2024 by Ernst &amp; Young LLP. </w:t>
      </w:r>
    </w:p>
    <w:tbl>
      <w:tblPr>
        <w:tblW w:w="4472" w:type="dxa"/>
        <w:jc w:val="left"/>
        <w:tblInd w:w="0" w:type="dxa"/>
        <w:tblLayout w:type="fixed"/>
        <w:tblCellMar>
          <w:top w:w="0" w:type="dxa"/>
          <w:left w:w="0" w:type="dxa"/>
          <w:bottom w:w="0" w:type="dxa"/>
          <w:right w:w="0" w:type="dxa"/>
        </w:tblCellMar>
      </w:tblPr>
      <w:tblGrid>
        <w:gridCol w:w="1681"/>
        <w:gridCol w:w="346"/>
        <w:gridCol w:w="211"/>
        <w:gridCol w:w="781"/>
        <w:gridCol w:w="346"/>
        <w:gridCol w:w="211"/>
        <w:gridCol w:w="89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067435" cy="175260"/>
                      <wp:effectExtent l="0" t="0" r="0" b="0"/>
                      <wp:wrapNone/>
                      <wp:docPr id="150" name="Frame146"/>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1"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2"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3" name="Frame1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4"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5"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68960" cy="175260"/>
                      <wp:effectExtent l="0" t="0" r="0" b="0"/>
                      <wp:wrapNone/>
                      <wp:docPr id="156" name="Frame15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921,500</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946,270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96" w:type="dxa"/>
            <w:tcBorders/>
            <w:vAlign w:val="center"/>
          </w:tcPr>
          <w:p>
            <w:pPr>
              <w:pStyle w:val="TableContents"/>
              <w:bidi w:val="0"/>
              <w:spacing w:before="0" w:after="0"/>
              <w:ind w:left="0" w:right="0" w:hanging="0"/>
              <w:jc w:val="righ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16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923,520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946,270</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pPr>
            <w:r>
              <w:rPr/>
              <w:t>​</w:t>
            </w:r>
            <w:r>
              <w:rPr>
                <w:rFonts w:ascii="Times New Roman;Times;serif" w:hAnsi="Times New Roman;Times;serif"/>
                <w:sz w:val="16"/>
              </w:rPr>
              <w:t>(1)</w:t>
            </w:r>
          </w:p>
        </w:tc>
        <w:tc>
          <w:tcPr>
            <w:tcW w:w="991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 xml:space="preserve">Audit fees consisted of audit services performed in connection with the audit of the Company’s consolidated financial statements, the reviews of the Company’s interim condensed consolidated financial statements, and related services that are normally provided in connection with registration statements. Included in the 2025 and 2024 audit fees are $205,000 and $155,000, respectively, billed in connection with our follow-on offerings. </w:t>
            </w:r>
          </w:p>
        </w:tc>
      </w:tr>
    </w:tbl>
    <w:tbl>
      <w:tblPr>
        <w:tblW w:w="9272" w:type="dxa"/>
        <w:jc w:val="left"/>
        <w:tblInd w:w="0" w:type="dxa"/>
        <w:tblLayout w:type="fixed"/>
        <w:tblCellMar>
          <w:top w:w="0" w:type="dxa"/>
          <w:left w:w="0" w:type="dxa"/>
          <w:bottom w:w="0" w:type="dxa"/>
          <w:right w:w="0" w:type="dxa"/>
        </w:tblCellMar>
      </w:tblPr>
      <w:tblGrid>
        <w:gridCol w:w="331"/>
        <w:gridCol w:w="8941"/>
      </w:tblGrid>
      <w:tr>
        <w:trPr/>
        <w:tc>
          <w:tcPr>
            <w:tcW w:w="33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(2)</w:t>
            </w:r>
          </w:p>
        </w:tc>
        <w:tc>
          <w:tcPr>
            <w:tcW w:w="894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 xml:space="preserve">All other fees consisted of a subscription fee to Ernst &amp; Young’s U.S. GAAP interpretive guidance and authoritative literature. </w:t>
            </w:r>
          </w:p>
        </w:tc>
      </w:tr>
    </w:tbl>
    <w:p>
      <w:pPr>
        <w:pStyle w:val="TextBody"/>
        <w:bidi w:val="0"/>
        <w:spacing w:before="0" w:after="200"/>
        <w:ind w:left="0" w:right="0" w:hanging="0"/>
        <w:jc w:val="left"/>
        <w:rPr>
          <w:rFonts w:ascii="Times New Roman;Times;serif" w:hAnsi="Times New Roman;Times;serif"/>
          <w:sz w:val="20"/>
        </w:rPr>
      </w:pPr>
      <w:bookmarkStart w:id="98" w:name="_Toc187748822"/>
      <w:bookmarkEnd w:id="98"/>
      <w:r>
        <w:rPr>
          <w:rFonts w:ascii="Times New Roman;Times;serif" w:hAnsi="Times New Roman;Times;serif"/>
          <w:b/>
          <w:sz w:val="20"/>
        </w:rPr>
        <w:t>Pre-Approval Policies and Procedures</w:t>
      </w:r>
      <w:r>
        <w:rPr>
          <w:rFonts w:ascii="Times New Roman;Times;serif" w:hAnsi="Times New Roman;Times;serif"/>
          <w:sz w:val="20"/>
        </w:rPr>
        <w: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No non-audit services were performed by our independent registered public accounting firm during the years ended December 31, 2025 and 2024. Our audit committee pre-approves these services by category and service. Our audit committee has pre-approved all of the above-described services.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9" w:name="PARTIV_900935"/>
      <w:bookmarkStart w:id="100" w:name="_d1865fc6_dbf4_4ea0_a9c2_8baf7f60b8fb"/>
      <w:bookmarkEnd w:id="99"/>
      <w:bookmarkEnd w:id="100"/>
      <w:r>
        <w:rPr>
          <w:rFonts w:ascii="Times New Roman;Times;serif" w:hAnsi="Times New Roman;Times;serif"/>
          <w:b/>
          <w:sz w:val="20"/>
        </w:rPr>
        <w:t>PART IV</w:t>
      </w:r>
    </w:p>
    <w:p>
      <w:pPr>
        <w:pStyle w:val="TextBody"/>
        <w:bidi w:val="0"/>
        <w:spacing w:before="0" w:after="200"/>
        <w:ind w:left="0" w:right="0" w:hanging="0"/>
        <w:jc w:val="left"/>
        <w:rPr>
          <w:rFonts w:ascii="Times New Roman;Times;serif" w:hAnsi="Times New Roman;Times;serif"/>
          <w:b/>
          <w:sz w:val="20"/>
        </w:rPr>
      </w:pPr>
      <w:bookmarkStart w:id="101" w:name="Item15ExhibitsFinancialStatementSchedule"/>
      <w:bookmarkEnd w:id="101"/>
      <w:r>
        <w:rPr>
          <w:rFonts w:ascii="Times New Roman;Times;serif" w:hAnsi="Times New Roman;Times;serif"/>
          <w:b/>
          <w:sz w:val="20"/>
        </w:rPr>
        <w:t>Item 15. Exhibits, Financial Statement Schedules</w:t>
      </w:r>
    </w:p>
    <w:tbl>
      <w:tblPr>
        <w:tblW w:w="5136" w:type="dxa"/>
        <w:jc w:val="left"/>
        <w:tblInd w:w="0" w:type="dxa"/>
        <w:tblLayout w:type="fixed"/>
        <w:tblCellMar>
          <w:top w:w="28" w:type="dxa"/>
          <w:left w:w="28" w:type="dxa"/>
          <w:bottom w:w="28" w:type="dxa"/>
          <w:right w:w="28" w:type="dxa"/>
        </w:tblCellMar>
      </w:tblPr>
      <w:tblGrid>
        <w:gridCol w:w="124"/>
        <w:gridCol w:w="361"/>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report:</w:t>
            </w:r>
          </w:p>
        </w:tc>
      </w:tr>
    </w:tbl>
    <w:tbl>
      <w:tblPr>
        <w:tblW w:w="2361" w:type="dxa"/>
        <w:jc w:val="left"/>
        <w:tblInd w:w="0" w:type="dxa"/>
        <w:tblLayout w:type="fixed"/>
        <w:tblCellMar>
          <w:top w:w="28" w:type="dxa"/>
          <w:left w:w="28" w:type="dxa"/>
          <w:bottom w:w="28" w:type="dxa"/>
          <w:right w:w="28" w:type="dxa"/>
        </w:tblCellMar>
      </w:tblPr>
      <w:tblGrid>
        <w:gridCol w:w="124"/>
        <w:gridCol w:w="331"/>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tbl>
      <w:tblPr>
        <w:tblW w:w="9572" w:type="dxa"/>
        <w:jc w:val="left"/>
        <w:tblInd w:w="0" w:type="dxa"/>
        <w:tblLayout w:type="fixed"/>
        <w:tblCellMar>
          <w:top w:w="0" w:type="dxa"/>
          <w:left w:w="0" w:type="dxa"/>
          <w:bottom w:w="0" w:type="dxa"/>
          <w:right w:w="0" w:type="dxa"/>
        </w:tblCellMar>
      </w:tblPr>
      <w:tblGrid>
        <w:gridCol w:w="9151"/>
        <w:gridCol w:w="421"/>
      </w:tblGrid>
      <w:tr>
        <w:trPr/>
        <w:tc>
          <w:tcPr>
            <w:tcW w:w="9151" w:type="dxa"/>
            <w:tcBorders/>
            <w:vAlign w:val="center"/>
          </w:tcPr>
          <w:p>
            <w:pPr>
              <w:pStyle w:val="TableContents"/>
              <w:pBdr/>
              <w:bidi w:val="0"/>
              <w:spacing w:before="0" w:after="0"/>
              <w:ind w:left="0" w:right="0" w:hanging="0"/>
              <w:jc w:val="left"/>
              <w:rPr/>
            </w:pPr>
            <w:hyperlink w:anchor="Audit_Report">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00042)</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r>
        <w:trPr/>
        <w:tc>
          <w:tcPr>
            <w:tcW w:w="9151" w:type="dxa"/>
            <w:tcBorders/>
            <w:vAlign w:val="center"/>
          </w:tcPr>
          <w:p>
            <w:pPr>
              <w:pStyle w:val="TableContents"/>
              <w:bidi w:val="0"/>
              <w:spacing w:before="0" w:after="0"/>
              <w:ind w:left="0" w:right="0" w:hanging="0"/>
              <w:jc w:val="left"/>
              <w:rPr/>
            </w:pPr>
            <w:hyperlink w:anchor="BALANCESHEETS_688394">
              <w:r>
                <w:rPr>
                  <w:rStyle w:val="InternetLink"/>
                  <w:rFonts w:ascii="Times New Roman;Times;serif" w:hAnsi="Times New Roman;Times;serif"/>
                  <w:b w:val="false"/>
                  <w:i w:val="false"/>
                  <w:caps w:val="false"/>
                  <w:smallCaps w:val="false"/>
                  <w:sz w:val="20"/>
                </w:rPr>
                <w:t>Consolidated</w:t>
              </w:r>
            </w:hyperlink>
            <w:hyperlink w:anchor="BALANCESHEETS_688394">
              <w:r>
                <w:rPr>
                  <w:rStyle w:val="InternetLink"/>
                  <w:rFonts w:ascii="Times New Roman;Times;serif" w:hAnsi="Times New Roman;Times;serif"/>
                  <w:caps w:val="false"/>
                  <w:smallCaps w:val="false"/>
                  <w:sz w:val="20"/>
                </w:rPr>
                <w:t xml:space="preserve"> </w:t>
              </w:r>
            </w:hyperlink>
            <w:hyperlink w:anchor="BALANCESHEETS_688394">
              <w:r>
                <w:rPr>
                  <w:rStyle w:val="InternetLink"/>
                  <w:rFonts w:ascii="Times New Roman;Times;serif" w:hAnsi="Times New Roman;Times;serif"/>
                  <w:b w:val="false"/>
                  <w:i w:val="false"/>
                  <w:caps w:val="false"/>
                  <w:smallCaps w:val="false"/>
                  <w:sz w:val="20"/>
                </w:rPr>
                <w:t>Balance Sheets</w:t>
              </w:r>
            </w:hyperlink>
            <w:hyperlink w:anchor="BALANCESHEETS_688394">
              <w:r>
                <w:rPr>
                  <w:rStyle w:val="InternetLink"/>
                  <w:rFonts w:ascii="Times New Roman;Times;serif" w:hAnsi="Times New Roman;Times;serif"/>
                  <w:caps w:val="false"/>
                  <w:smallCaps w:val="false"/>
                  <w:sz w:val="20"/>
                </w:rPr>
                <w:t xml:space="preserve"> </w:t>
              </w:r>
            </w:hyperlink>
            <w:hyperlink w:anchor="BALANCESHEETS_688394">
              <w:r>
                <w:rPr>
                  <w:rStyle w:val="InternetLink"/>
                  <w:rFonts w:ascii="Times New Roman;Times;serif" w:hAnsi="Times New Roman;Times;serif"/>
                  <w:b w:val="false"/>
                  <w:i w:val="false"/>
                  <w:caps w:val="false"/>
                  <w:smallCaps w:val="false"/>
                  <w:sz w:val="20"/>
                </w:rPr>
                <w:t>as of December 31, 2025 and 2024</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151" w:type="dxa"/>
            <w:tcBorders/>
            <w:vAlign w:val="center"/>
          </w:tcPr>
          <w:p>
            <w:pPr>
              <w:pStyle w:val="TableContents"/>
              <w:pBdr/>
              <w:bidi w:val="0"/>
              <w:spacing w:before="0" w:after="0"/>
              <w:ind w:left="0" w:right="0" w:hanging="0"/>
              <w:jc w:val="left"/>
              <w:rPr/>
            </w:pPr>
            <w:hyperlink w:anchor="STATEMENTSOFOPERATIONS_773604">
              <w:r>
                <w:rPr>
                  <w:rStyle w:val="InternetLink"/>
                  <w:rFonts w:ascii="Times New Roman;Times;serif" w:hAnsi="Times New Roman;Times;serif"/>
                  <w:b w:val="false"/>
                  <w:i w:val="false"/>
                  <w:caps w:val="false"/>
                  <w:smallCaps w:val="false"/>
                  <w:sz w:val="20"/>
                </w:rPr>
                <w:t>Consolidated Statements of Operations</w:t>
              </w:r>
            </w:hyperlink>
            <w:hyperlink w:anchor="STATEMENTSOFOPERATIONS_773604">
              <w:r>
                <w:rPr>
                  <w:rStyle w:val="InternetLink"/>
                  <w:rFonts w:ascii="Times New Roman;Times;serif" w:hAnsi="Times New Roman;Times;serif"/>
                  <w:caps w:val="false"/>
                  <w:smallCaps w:val="false"/>
                  <w:sz w:val="20"/>
                </w:rPr>
                <w:t xml:space="preserve"> </w:t>
              </w:r>
            </w:hyperlink>
            <w:hyperlink w:anchor="STATEMENTSOFOPERATIONS_773604">
              <w:r>
                <w:rPr>
                  <w:rStyle w:val="InternetLink"/>
                  <w:rFonts w:ascii="Times New Roman;Times;serif" w:hAnsi="Times New Roman;Times;serif"/>
                  <w:b w:val="false"/>
                  <w:i w:val="false"/>
                  <w:caps w:val="false"/>
                  <w:smallCaps w:val="false"/>
                  <w:sz w:val="20"/>
                </w:rPr>
                <w:t>for the Years Ended December 31, 2025 and 2024</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151" w:type="dxa"/>
            <w:tcBorders/>
            <w:vAlign w:val="center"/>
          </w:tcPr>
          <w:p>
            <w:pPr>
              <w:pStyle w:val="TableContents"/>
              <w:pBdr/>
              <w:bidi w:val="0"/>
              <w:spacing w:before="0" w:after="0"/>
              <w:ind w:left="0" w:right="0" w:hanging="0"/>
              <w:jc w:val="left"/>
              <w:rPr/>
            </w:pPr>
            <w:hyperlink w:anchor="STATEMENTSOFCHANGESINSTOCKHOLDERSEQUITY_">
              <w:r>
                <w:rPr>
                  <w:rStyle w:val="InternetLink"/>
                  <w:rFonts w:ascii="Times New Roman;Times;serif" w:hAnsi="Times New Roman;Times;serif"/>
                  <w:b w:val="false"/>
                  <w:i w:val="false"/>
                  <w:caps w:val="false"/>
                  <w:smallCaps w:val="false"/>
                  <w:sz w:val="20"/>
                </w:rPr>
                <w:t>Consolidated Statements of Changes in Stockholders’ Equity</w:t>
              </w:r>
            </w:hyperlink>
            <w:hyperlink w:anchor="STATEMENTSOFCHANGESINSTOCKHOLDERSEQUITY_">
              <w:r>
                <w:rPr>
                  <w:rStyle w:val="InternetLink"/>
                  <w:rFonts w:ascii="Times New Roman;Times;serif" w:hAnsi="Times New Roman;Times;serif"/>
                  <w:caps w:val="false"/>
                  <w:smallCaps w:val="false"/>
                  <w:sz w:val="20"/>
                </w:rPr>
                <w:t xml:space="preserve"> </w:t>
              </w:r>
            </w:hyperlink>
            <w:hyperlink w:anchor="STATEMENTSOFCHANGESINSTOCKHOLDERSEQUITY_">
              <w:r>
                <w:rPr>
                  <w:rStyle w:val="InternetLink"/>
                  <w:rFonts w:ascii="Times New Roman;Times;serif" w:hAnsi="Times New Roman;Times;serif"/>
                  <w:b w:val="false"/>
                  <w:i w:val="false"/>
                  <w:caps w:val="false"/>
                  <w:smallCaps w:val="false"/>
                  <w:sz w:val="20"/>
                </w:rPr>
                <w:t>for the Years Ended December 31, 2025 and 2024</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151" w:type="dxa"/>
            <w:tcBorders/>
            <w:vAlign w:val="center"/>
          </w:tcPr>
          <w:p>
            <w:pPr>
              <w:pStyle w:val="TableContents"/>
              <w:pBdr/>
              <w:bidi w:val="0"/>
              <w:spacing w:before="0" w:after="0"/>
              <w:ind w:left="0" w:right="0" w:hanging="0"/>
              <w:jc w:val="left"/>
              <w:rPr/>
            </w:pPr>
            <w:hyperlink w:anchor="STATEMENTSOFCASHFLOWS_770795">
              <w:r>
                <w:rPr>
                  <w:rStyle w:val="InternetLink"/>
                  <w:rFonts w:ascii="Times New Roman;Times;serif" w:hAnsi="Times New Roman;Times;serif"/>
                  <w:b w:val="false"/>
                  <w:i w:val="false"/>
                  <w:caps w:val="false"/>
                  <w:smallCaps w:val="false"/>
                  <w:sz w:val="20"/>
                </w:rPr>
                <w:t>Consolidated Statements of Cash Flows</w:t>
              </w:r>
            </w:hyperlink>
            <w:hyperlink w:anchor="STATEMENTSOFCASHFLOWS_770795">
              <w:r>
                <w:rPr>
                  <w:rStyle w:val="InternetLink"/>
                  <w:rFonts w:ascii="Times New Roman;Times;serif" w:hAnsi="Times New Roman;Times;serif"/>
                  <w:caps w:val="false"/>
                  <w:smallCaps w:val="false"/>
                  <w:sz w:val="20"/>
                </w:rPr>
                <w:t xml:space="preserve"> </w:t>
              </w:r>
            </w:hyperlink>
            <w:hyperlink w:anchor="STATEMENTSOFCASHFLOWS_770795">
              <w:r>
                <w:rPr>
                  <w:rStyle w:val="InternetLink"/>
                  <w:rFonts w:ascii="Times New Roman;Times;serif" w:hAnsi="Times New Roman;Times;serif"/>
                  <w:b w:val="false"/>
                  <w:i w:val="false"/>
                  <w:caps w:val="false"/>
                  <w:smallCaps w:val="false"/>
                  <w:sz w:val="20"/>
                </w:rPr>
                <w:t>for the Years Ended December 31, 2025 and 2024</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151" w:type="dxa"/>
            <w:tcBorders/>
            <w:vAlign w:val="center"/>
          </w:tcPr>
          <w:p>
            <w:pPr>
              <w:pStyle w:val="TableContents"/>
              <w:pBdr/>
              <w:bidi w:val="0"/>
              <w:spacing w:before="0" w:after="0"/>
              <w:ind w:left="0" w:right="0" w:hanging="0"/>
              <w:jc w:val="left"/>
              <w:rPr/>
            </w:pPr>
            <w:hyperlink w:anchor="NOTESTOFINANCIALSTATEMENTS_564668">
              <w:r>
                <w:rPr>
                  <w:rStyle w:val="InternetLink"/>
                  <w:rFonts w:ascii="Times New Roman;Times;serif" w:hAnsi="Times New Roman;Times;serif"/>
                  <w:b w:val="false"/>
                  <w:i w:val="false"/>
                  <w:caps w:val="false"/>
                  <w:smallCaps w:val="false"/>
                  <w:sz w:val="20"/>
                </w:rPr>
                <w:t>Notes to Consolidated Financial Statements</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bl>
    <w:tbl>
      <w:tblPr>
        <w:tblW w:w="3156" w:type="dxa"/>
        <w:jc w:val="left"/>
        <w:tblInd w:w="0" w:type="dxa"/>
        <w:tblLayout w:type="fixed"/>
        <w:tblCellMar>
          <w:top w:w="28" w:type="dxa"/>
          <w:left w:w="28" w:type="dxa"/>
          <w:bottom w:w="28" w:type="dxa"/>
          <w:right w:w="28" w:type="dxa"/>
        </w:tblCellMar>
      </w:tblPr>
      <w:tblGrid>
        <w:gridCol w:w="124"/>
        <w:gridCol w:w="331"/>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All financial statement schedules have been omitted because they are not applicable, not required or the information required is shown in the financial statements or the notes thereto.</w:t>
      </w:r>
    </w:p>
    <w:tbl>
      <w:tblPr>
        <w:tblW w:w="1341" w:type="dxa"/>
        <w:jc w:val="left"/>
        <w:tblInd w:w="0" w:type="dxa"/>
        <w:tblLayout w:type="fixed"/>
        <w:tblCellMar>
          <w:top w:w="28" w:type="dxa"/>
          <w:left w:w="28" w:type="dxa"/>
          <w:bottom w:w="28" w:type="dxa"/>
          <w:right w:w="28" w:type="dxa"/>
        </w:tblCellMar>
      </w:tblPr>
      <w:tblGrid>
        <w:gridCol w:w="124"/>
        <w:gridCol w:w="331"/>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tbl>
      <w:tblPr>
        <w:tblW w:w="10205" w:type="dxa"/>
        <w:jc w:val="left"/>
        <w:tblInd w:w="0" w:type="dxa"/>
        <w:tblLayout w:type="fixed"/>
        <w:tblCellMar>
          <w:top w:w="0" w:type="dxa"/>
          <w:left w:w="0" w:type="dxa"/>
          <w:bottom w:w="0" w:type="dxa"/>
          <w:right w:w="0" w:type="dxa"/>
        </w:tblCellMar>
      </w:tblPr>
      <w:tblGrid>
        <w:gridCol w:w="491"/>
        <w:gridCol w:w="215"/>
        <w:gridCol w:w="243"/>
        <w:gridCol w:w="103"/>
        <w:gridCol w:w="3444"/>
        <w:gridCol w:w="346"/>
        <w:gridCol w:w="77"/>
        <w:gridCol w:w="373"/>
        <w:gridCol w:w="80"/>
        <w:gridCol w:w="346"/>
        <w:gridCol w:w="153"/>
        <w:gridCol w:w="590"/>
        <w:gridCol w:w="123"/>
        <w:gridCol w:w="346"/>
        <w:gridCol w:w="93"/>
        <w:gridCol w:w="443"/>
        <w:gridCol w:w="95"/>
        <w:gridCol w:w="346"/>
        <w:gridCol w:w="142"/>
        <w:gridCol w:w="681"/>
        <w:gridCol w:w="144"/>
        <w:gridCol w:w="346"/>
        <w:gridCol w:w="122"/>
        <w:gridCol w:w="580"/>
        <w:gridCol w:w="124"/>
        <w:gridCol w:w="159"/>
      </w:tblGrid>
      <w:tr>
        <w:trPr/>
        <w:tc>
          <w:tcPr>
            <w:tcW w:w="49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5575" cy="29210"/>
                      <wp:effectExtent l="0" t="0" r="0" b="0"/>
                      <wp:wrapNone/>
                      <wp:docPr id="157" name="Frame153"/>
                      <a:graphic xmlns:a="http://schemas.openxmlformats.org/drawingml/2006/main">
                        <a:graphicData uri="http://schemas.microsoft.com/office/word/2010/wordprocessingShape">
                          <wps:wsp>
                            <wps:cNvSpPr txBox="1"/>
                            <wps:spPr>
                              <a:xfrm>
                                <a:off x="0" y="0"/>
                                <a:ext cx="155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8"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5415" cy="29210"/>
                      <wp:effectExtent l="0" t="0" r="0" b="0"/>
                      <wp:wrapNone/>
                      <wp:docPr id="158" name="Frame154"/>
                      <a:graphic xmlns:a="http://schemas.openxmlformats.org/drawingml/2006/main">
                        <a:graphicData uri="http://schemas.microsoft.com/office/word/2010/wordprocessingShape">
                          <wps:wsp>
                            <wps:cNvSpPr txBox="1"/>
                            <wps:spPr>
                              <a:xfrm>
                                <a:off x="0" y="0"/>
                                <a:ext cx="1454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70"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60475" cy="29210"/>
                      <wp:effectExtent l="0" t="0" r="0" b="0"/>
                      <wp:wrapNone/>
                      <wp:docPr id="159" name="Frame155"/>
                      <a:graphic xmlns:a="http://schemas.openxmlformats.org/drawingml/2006/main">
                        <a:graphicData uri="http://schemas.microsoft.com/office/word/2010/wordprocessingShape">
                          <wps:wsp>
                            <wps:cNvSpPr txBox="1"/>
                            <wps:spPr>
                              <a:xfrm>
                                <a:off x="0" y="0"/>
                                <a:ext cx="1260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18110" cy="29210"/>
                      <wp:effectExtent l="0" t="0" r="0" b="0"/>
                      <wp:wrapNone/>
                      <wp:docPr id="160" name="Frame156"/>
                      <a:graphic xmlns:a="http://schemas.openxmlformats.org/drawingml/2006/main">
                        <a:graphicData uri="http://schemas.microsoft.com/office/word/2010/wordprocessingShape">
                          <wps:wsp>
                            <wps:cNvSpPr txBox="1"/>
                            <wps:spPr>
                              <a:xfrm>
                                <a:off x="0" y="0"/>
                                <a:ext cx="118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9"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3515" cy="29210"/>
                      <wp:effectExtent l="0" t="0" r="0" b="0"/>
                      <wp:wrapNone/>
                      <wp:docPr id="161" name="Frame157"/>
                      <a:graphic xmlns:a="http://schemas.openxmlformats.org/drawingml/2006/main">
                        <a:graphicData uri="http://schemas.microsoft.com/office/word/2010/wordprocessingShape">
                          <wps:wsp>
                            <wps:cNvSpPr txBox="1"/>
                            <wps:spPr>
                              <a:xfrm>
                                <a:off x="0" y="0"/>
                                <a:ext cx="183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9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7325" cy="29210"/>
                      <wp:effectExtent l="0" t="0" r="0" b="0"/>
                      <wp:wrapNone/>
                      <wp:docPr id="162" name="Frame158"/>
                      <a:graphic xmlns:a="http://schemas.openxmlformats.org/drawingml/2006/main">
                        <a:graphicData uri="http://schemas.microsoft.com/office/word/2010/wordprocessingShape">
                          <wps:wsp>
                            <wps:cNvSpPr txBox="1"/>
                            <wps:spPr>
                              <a:xfrm>
                                <a:off x="0" y="0"/>
                                <a:ext cx="187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62"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78435" cy="29210"/>
                      <wp:effectExtent l="0" t="0" r="0" b="0"/>
                      <wp:wrapNone/>
                      <wp:docPr id="163" name="Frame159"/>
                      <a:graphic xmlns:a="http://schemas.openxmlformats.org/drawingml/2006/main">
                        <a:graphicData uri="http://schemas.microsoft.com/office/word/2010/wordprocessingShape">
                          <wps:wsp>
                            <wps:cNvSpPr txBox="1"/>
                            <wps:spPr>
                              <a:xfrm>
                                <a:off x="0" y="0"/>
                                <a:ext cx="17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0335" cy="29210"/>
                      <wp:effectExtent l="0" t="0" r="0" b="0"/>
                      <wp:wrapNone/>
                      <wp:docPr id="164" name="Frame160"/>
                      <a:graphic xmlns:a="http://schemas.openxmlformats.org/drawingml/2006/main">
                        <a:graphicData uri="http://schemas.microsoft.com/office/word/2010/wordprocessingShape">
                          <wps:wsp>
                            <wps:cNvSpPr txBox="1"/>
                            <wps:spPr>
                              <a:xfrm>
                                <a:off x="0" y="0"/>
                                <a:ext cx="140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3"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84785" cy="29210"/>
                      <wp:effectExtent l="0" t="0" r="0" b="0"/>
                      <wp:wrapNone/>
                      <wp:docPr id="165" name="Frame161"/>
                      <a:graphic xmlns:a="http://schemas.openxmlformats.org/drawingml/2006/main">
                        <a:graphicData uri="http://schemas.microsoft.com/office/word/2010/wordprocessingShape">
                          <wps:wsp>
                            <wps:cNvSpPr txBox="1"/>
                            <wps:spPr>
                              <a:xfrm>
                                <a:off x="0" y="0"/>
                                <a:ext cx="184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8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5900" cy="29210"/>
                      <wp:effectExtent l="0" t="0" r="0" b="0"/>
                      <wp:wrapNone/>
                      <wp:docPr id="166" name="Frame162"/>
                      <a:graphic xmlns:a="http://schemas.openxmlformats.org/drawingml/2006/main">
                        <a:graphicData uri="http://schemas.microsoft.com/office/word/2010/wordprocessingShape">
                          <wps:wsp>
                            <wps:cNvSpPr txBox="1"/>
                            <wps:spPr>
                              <a:xfrm>
                                <a:off x="0" y="0"/>
                                <a:ext cx="2159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2"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94310" cy="29210"/>
                      <wp:effectExtent l="0" t="0" r="0" b="0"/>
                      <wp:wrapNone/>
                      <wp:docPr id="167" name="Frame163"/>
                      <a:graphic xmlns:a="http://schemas.openxmlformats.org/drawingml/2006/main">
                        <a:graphicData uri="http://schemas.microsoft.com/office/word/2010/wordprocessingShape">
                          <wps:wsp>
                            <wps:cNvSpPr txBox="1"/>
                            <wps:spPr>
                              <a:xfrm>
                                <a:off x="0" y="0"/>
                                <a:ext cx="194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4150" cy="29210"/>
                      <wp:effectExtent l="0" t="0" r="0" b="0"/>
                      <wp:wrapNone/>
                      <wp:docPr id="168" name="Frame164"/>
                      <a:graphic xmlns:a="http://schemas.openxmlformats.org/drawingml/2006/main">
                        <a:graphicData uri="http://schemas.microsoft.com/office/word/2010/wordprocessingShape">
                          <wps:wsp>
                            <wps:cNvSpPr txBox="1"/>
                            <wps:spPr>
                              <a:xfrm>
                                <a:off x="0" y="0"/>
                                <a:ext cx="184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3"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9535" cy="29210"/>
                      <wp:effectExtent l="0" t="0" r="0" b="0"/>
                      <wp:wrapNone/>
                      <wp:docPr id="169" name="Frame165"/>
                      <a:graphic xmlns:a="http://schemas.openxmlformats.org/drawingml/2006/main">
                        <a:graphicData uri="http://schemas.microsoft.com/office/word/2010/wordprocessingShape">
                          <wps:wsp>
                            <wps:cNvSpPr txBox="1"/>
                            <wps:spPr>
                              <a:xfrm>
                                <a:off x="0" y="0"/>
                                <a:ext cx="8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gridSpan w:val="2"/>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44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30"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6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967"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2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top w:val="single" w:sz="2" w:space="0" w:color="000000"/>
            </w:tcBorders>
            <w:tcMar>
              <w:top w:w="28"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Amended and Restated Certificate of Incorporation</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08/10/2021</w:t>
            </w:r>
          </w:p>
        </w:tc>
        <w:tc>
          <w:tcPr>
            <w:tcW w:w="346" w:type="dxa"/>
            <w:tcBorders/>
            <w:vAlign w:val="center"/>
          </w:tcPr>
          <w:p>
            <w:pPr>
              <w:pStyle w:val="TableContents"/>
              <w:bidi w:val="0"/>
              <w:spacing w:before="0" w:after="0"/>
              <w:ind w:left="0" w:right="0" w:hanging="0"/>
              <w:jc w:val="left"/>
              <w:rPr/>
            </w:pPr>
            <w:r>
              <w:rPr/>
              <w:t>​</w:t>
            </w:r>
          </w:p>
        </w:tc>
        <w:tc>
          <w:tcPr>
            <w:tcW w:w="826" w:type="dxa"/>
            <w:gridSpan w:val="3"/>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06/12/2024</w:t>
            </w:r>
          </w:p>
        </w:tc>
        <w:tc>
          <w:tcPr>
            <w:tcW w:w="346" w:type="dxa"/>
            <w:tcBorders/>
            <w:vAlign w:val="center"/>
          </w:tcPr>
          <w:p>
            <w:pPr>
              <w:pStyle w:val="TableContents"/>
              <w:bidi w:val="0"/>
              <w:spacing w:before="0" w:after="0"/>
              <w:ind w:left="0" w:right="0" w:hanging="0"/>
              <w:jc w:val="left"/>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02/06/2025</w:t>
            </w:r>
          </w:p>
        </w:tc>
        <w:tc>
          <w:tcPr>
            <w:tcW w:w="346" w:type="dxa"/>
            <w:tcBorders/>
            <w:vAlign w:val="center"/>
          </w:tcPr>
          <w:p>
            <w:pPr>
              <w:pStyle w:val="TableContents"/>
              <w:bidi w:val="0"/>
              <w:spacing w:before="0" w:after="0"/>
              <w:ind w:left="0" w:right="0" w:hanging="0"/>
              <w:jc w:val="left"/>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Amended and Restated Bylaws</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03/13/2018</w:t>
            </w:r>
          </w:p>
        </w:tc>
        <w:tc>
          <w:tcPr>
            <w:tcW w:w="346" w:type="dxa"/>
            <w:tcBorders/>
            <w:vAlign w:val="center"/>
          </w:tcPr>
          <w:p>
            <w:pPr>
              <w:pStyle w:val="TableContents"/>
              <w:bidi w:val="0"/>
              <w:spacing w:before="0" w:after="0"/>
              <w:ind w:left="0" w:right="0" w:hanging="0"/>
              <w:jc w:val="left"/>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hyperlink w:anchor="btai-20251231xex4d1.htm">
              <w:r>
                <w:rPr>
                  <w:rStyle w:val="InternetLink"/>
                  <w:rFonts w:ascii="Times New Roman;Times;serif" w:hAnsi="Times New Roman;Times;serif"/>
                  <w:b w:val="false"/>
                  <w:i w:val="false"/>
                  <w:caps w:val="false"/>
                  <w:smallCaps w:val="false"/>
                  <w:sz w:val="20"/>
                </w:rPr>
                <w:t>Description of the Registrant’s Securities Registered Under Section 12 of the Exchange Act</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"http://www.sec.gov/Archives/edgar/data/1720893/000104746918001032/a2234645zex-4_2.htm" \l "Exhibit:http://www.sec.gov/Archives/edgar/data/1720893/000104746918001032/a2234645zex-4_2.htm"</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Specimen Stock Certificate evidencing the shares of common stock</w:t>
            </w:r>
            <w:r>
              <w:rPr>
                <w:rStyle w:val="InternetLink"/>
                <w:smallCaps w:val="false"/>
                <w:caps w:val="false"/>
                <w:sz w:val="20"/>
                <w:i w:val="false"/>
                <w:b w:val="false"/>
                <w:rFonts w:ascii="Times New Roman;Times;serif" w:hAnsi="Times New Roman;Times;serif"/>
              </w:rPr>
              <w:fldChar w:fldCharType="end"/>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333-222990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02/26/2018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Amended and Restated Warrant Agreement, dated December 5, 2023</w:t>
              </w:r>
            </w:hyperlink>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12/06/2023</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Warrant Agreement, dated December 5, 2023</w:t>
              </w:r>
            </w:hyperlink>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12/06/2023</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hyperlink w:anchor="btai-20251231xex4d5.htm">
              <w:r>
                <w:rPr>
                  <w:rStyle w:val="InternetLink"/>
                  <w:rFonts w:ascii="Times New Roman;Times;serif" w:hAnsi="Times New Roman;Times;serif"/>
                  <w:b w:val="false"/>
                  <w:i w:val="false"/>
                  <w:caps w:val="false"/>
                  <w:smallCaps w:val="false"/>
                  <w:sz w:val="20"/>
                </w:rPr>
                <w:t>Form of Amended and Restated Warrant Agreement, dated November 25, 2024</w:t>
              </w:r>
            </w:hyperlink>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Pre-Funded Warrant, dated March 25, 2024</w:t>
              </w:r>
            </w:hyperlink>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03/25/2024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0"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6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91"/>
        <w:gridCol w:w="215"/>
        <w:gridCol w:w="243"/>
        <w:gridCol w:w="103"/>
        <w:gridCol w:w="3560"/>
        <w:gridCol w:w="346"/>
        <w:gridCol w:w="76"/>
        <w:gridCol w:w="365"/>
        <w:gridCol w:w="78"/>
        <w:gridCol w:w="346"/>
        <w:gridCol w:w="150"/>
        <w:gridCol w:w="531"/>
        <w:gridCol w:w="110"/>
        <w:gridCol w:w="346"/>
        <w:gridCol w:w="93"/>
        <w:gridCol w:w="443"/>
        <w:gridCol w:w="95"/>
        <w:gridCol w:w="346"/>
        <w:gridCol w:w="138"/>
        <w:gridCol w:w="659"/>
        <w:gridCol w:w="140"/>
        <w:gridCol w:w="346"/>
        <w:gridCol w:w="122"/>
        <w:gridCol w:w="580"/>
        <w:gridCol w:w="124"/>
        <w:gridCol w:w="159"/>
      </w:tblGrid>
      <w:tr>
        <w:trPr/>
        <w:tc>
          <w:tcPr>
            <w:tcW w:w="49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55575" cy="29210"/>
                      <wp:effectExtent l="0" t="0" r="0" b="0"/>
                      <wp:wrapNone/>
                      <wp:docPr id="170" name="Frame166"/>
                      <a:graphic xmlns:a="http://schemas.openxmlformats.org/drawingml/2006/main">
                        <a:graphicData uri="http://schemas.microsoft.com/office/word/2010/wordprocessingShape">
                          <wps:wsp>
                            <wps:cNvSpPr txBox="1"/>
                            <wps:spPr>
                              <a:xfrm>
                                <a:off x="0" y="0"/>
                                <a:ext cx="155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8"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5415" cy="29210"/>
                      <wp:effectExtent l="0" t="0" r="0" b="0"/>
                      <wp:wrapNone/>
                      <wp:docPr id="171" name="Frame167"/>
                      <a:graphic xmlns:a="http://schemas.openxmlformats.org/drawingml/2006/main">
                        <a:graphicData uri="http://schemas.microsoft.com/office/word/2010/wordprocessingShape">
                          <wps:wsp>
                            <wps:cNvSpPr txBox="1"/>
                            <wps:spPr>
                              <a:xfrm>
                                <a:off x="0" y="0"/>
                                <a:ext cx="1454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85"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96670" cy="29210"/>
                      <wp:effectExtent l="0" t="0" r="0" b="0"/>
                      <wp:wrapNone/>
                      <wp:docPr id="172" name="Frame168"/>
                      <a:graphic xmlns:a="http://schemas.openxmlformats.org/drawingml/2006/main">
                        <a:graphicData uri="http://schemas.microsoft.com/office/word/2010/wordprocessingShape">
                          <wps:wsp>
                            <wps:cNvSpPr txBox="1"/>
                            <wps:spPr>
                              <a:xfrm>
                                <a:off x="0" y="0"/>
                                <a:ext cx="1296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15570" cy="29210"/>
                      <wp:effectExtent l="0" t="0" r="0" b="0"/>
                      <wp:wrapNone/>
                      <wp:docPr id="173" name="Frame169"/>
                      <a:graphic xmlns:a="http://schemas.openxmlformats.org/drawingml/2006/main">
                        <a:graphicData uri="http://schemas.microsoft.com/office/word/2010/wordprocessingShape">
                          <wps:wsp>
                            <wps:cNvSpPr txBox="1"/>
                            <wps:spPr>
                              <a:xfrm>
                                <a:off x="0" y="0"/>
                                <a:ext cx="1155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4"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2245" cy="29210"/>
                      <wp:effectExtent l="0" t="0" r="0" b="0"/>
                      <wp:wrapNone/>
                      <wp:docPr id="174" name="Frame170"/>
                      <a:graphic xmlns:a="http://schemas.openxmlformats.org/drawingml/2006/main">
                        <a:graphicData uri="http://schemas.microsoft.com/office/word/2010/wordprocessingShape">
                          <wps:wsp>
                            <wps:cNvSpPr txBox="1"/>
                            <wps:spPr>
                              <a:xfrm>
                                <a:off x="0" y="0"/>
                                <a:ext cx="182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8275" cy="29210"/>
                      <wp:effectExtent l="0" t="0" r="0" b="0"/>
                      <wp:wrapNone/>
                      <wp:docPr id="175" name="Frame171"/>
                      <a:graphic xmlns:a="http://schemas.openxmlformats.org/drawingml/2006/main">
                        <a:graphicData uri="http://schemas.microsoft.com/office/word/2010/wordprocessingShape">
                          <wps:wsp>
                            <wps:cNvSpPr txBox="1"/>
                            <wps:spPr>
                              <a:xfrm>
                                <a:off x="0" y="0"/>
                                <a:ext cx="1682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9"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3990" cy="29210"/>
                      <wp:effectExtent l="0" t="0" r="0" b="0"/>
                      <wp:wrapNone/>
                      <wp:docPr id="176" name="Frame172"/>
                      <a:graphic xmlns:a="http://schemas.openxmlformats.org/drawingml/2006/main">
                        <a:graphicData uri="http://schemas.microsoft.com/office/word/2010/wordprocessingShape">
                          <wps:wsp>
                            <wps:cNvSpPr txBox="1"/>
                            <wps:spPr>
                              <a:xfrm>
                                <a:off x="0" y="0"/>
                                <a:ext cx="1739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0335" cy="29210"/>
                      <wp:effectExtent l="0" t="0" r="0" b="0"/>
                      <wp:wrapNone/>
                      <wp:docPr id="177" name="Frame173"/>
                      <a:graphic xmlns:a="http://schemas.openxmlformats.org/drawingml/2006/main">
                        <a:graphicData uri="http://schemas.microsoft.com/office/word/2010/wordprocessingShape">
                          <wps:wsp>
                            <wps:cNvSpPr txBox="1"/>
                            <wps:spPr>
                              <a:xfrm>
                                <a:off x="0" y="0"/>
                                <a:ext cx="140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9"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3515" cy="29210"/>
                      <wp:effectExtent l="0" t="0" r="0" b="0"/>
                      <wp:wrapNone/>
                      <wp:docPr id="178" name="Frame174"/>
                      <a:graphic xmlns:a="http://schemas.openxmlformats.org/drawingml/2006/main">
                        <a:graphicData uri="http://schemas.microsoft.com/office/word/2010/wordprocessingShape">
                          <wps:wsp>
                            <wps:cNvSpPr txBox="1"/>
                            <wps:spPr>
                              <a:xfrm>
                                <a:off x="0" y="0"/>
                                <a:ext cx="183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8915" cy="29210"/>
                      <wp:effectExtent l="0" t="0" r="0" b="0"/>
                      <wp:wrapNone/>
                      <wp:docPr id="179" name="Frame175"/>
                      <a:graphic xmlns:a="http://schemas.openxmlformats.org/drawingml/2006/main">
                        <a:graphicData uri="http://schemas.microsoft.com/office/word/2010/wordprocessingShape">
                          <wps:wsp>
                            <wps:cNvSpPr txBox="1"/>
                            <wps:spPr>
                              <a:xfrm>
                                <a:off x="0" y="0"/>
                                <a:ext cx="2089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8"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93040" cy="29210"/>
                      <wp:effectExtent l="0" t="0" r="0" b="0"/>
                      <wp:wrapNone/>
                      <wp:docPr id="180" name="Frame176"/>
                      <a:graphic xmlns:a="http://schemas.openxmlformats.org/drawingml/2006/main">
                        <a:graphicData uri="http://schemas.microsoft.com/office/word/2010/wordprocessingShape">
                          <wps:wsp>
                            <wps:cNvSpPr txBox="1"/>
                            <wps:spPr>
                              <a:xfrm>
                                <a:off x="0" y="0"/>
                                <a:ext cx="1930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84150" cy="29210"/>
                      <wp:effectExtent l="0" t="0" r="0" b="0"/>
                      <wp:wrapNone/>
                      <wp:docPr id="181" name="Frame177"/>
                      <a:graphic xmlns:a="http://schemas.openxmlformats.org/drawingml/2006/main">
                        <a:graphicData uri="http://schemas.microsoft.com/office/word/2010/wordprocessingShape">
                          <wps:wsp>
                            <wps:cNvSpPr txBox="1"/>
                            <wps:spPr>
                              <a:xfrm>
                                <a:off x="0" y="0"/>
                                <a:ext cx="184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3"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89535" cy="29210"/>
                      <wp:effectExtent l="0" t="0" r="0" b="0"/>
                      <wp:wrapNone/>
                      <wp:docPr id="182" name="Frame178"/>
                      <a:graphic xmlns:a="http://schemas.openxmlformats.org/drawingml/2006/main">
                        <a:graphicData uri="http://schemas.microsoft.com/office/word/2010/wordprocessingShape">
                          <wps:wsp>
                            <wps:cNvSpPr txBox="1"/>
                            <wps:spPr>
                              <a:xfrm>
                                <a:off x="0" y="0"/>
                                <a:ext cx="8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gridSpan w:val="2"/>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56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9"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9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937"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2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c>
          <w:tcPr>
            <w:tcW w:w="1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Accompanying Warrant, dated March 25, 2024</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03/25/2024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Fifth Amendment Warrant, dated November 21, 2024</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Pre-Funded Warrant, dated November 21, 2024</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11/25/2024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Warrant, dated November 21, 2024</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11/25/2024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Amended and Restated Fourth Amendment Warrant, dated November 25, 2024</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333-284224</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01/10/2025</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Second Amended and Restated Registration Rights Agreement, between the Company and the parties thereto, dated March 20, 2024.</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03/22/2024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Third Amended and Restated Registration Rights Agreement, between the Company and the parties thereto, dated November 25, 2024</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Second</w:t>
              </w:r>
            </w:hyperlink>
            <w:hyperlink r:id="rId22">
              <w:r>
                <w:rPr>
                  <w:rStyle w:val="InternetLink"/>
                  <w:rFonts w:ascii="Times New Roman;Times;serif" w:hAnsi="Times New Roman;Times;serif"/>
                  <w:caps w:val="false"/>
                  <w:smallCaps w:val="false"/>
                  <w:sz w:val="20"/>
                </w:rPr>
                <w:t xml:space="preserve"> </w:t>
              </w:r>
            </w:hyperlink>
            <w:hyperlink r:id="rId23">
              <w:r>
                <w:rPr>
                  <w:rStyle w:val="InternetLink"/>
                  <w:rFonts w:ascii="Times New Roman;Times;serif" w:hAnsi="Times New Roman;Times;serif"/>
                  <w:b w:val="false"/>
                  <w:i w:val="false"/>
                  <w:caps w:val="false"/>
                  <w:smallCaps w:val="false"/>
                  <w:sz w:val="20"/>
                </w:rPr>
                <w:t>Amended and Restated Separation and Shared Services Agreement, dated March 6, 2020, by and between BioXcel Corporation and BioXcel Therapeutics, Inc.</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03/09/2020</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283"/>
              <w:ind w:left="0" w:right="0" w:hanging="0"/>
              <w:jc w:val="left"/>
              <w:rPr>
                <w:sz w:val="4"/>
                <w:szCs w:val="4"/>
              </w:rPr>
            </w:pPr>
            <w:r>
              <w:rPr>
                <w:sz w:val="4"/>
                <w:szCs w:val="4"/>
              </w:rPr>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shd w:fill="FFFF00" w:val="clear"/>
              </w:rPr>
            </w:pPr>
            <w:r>
              <w:rPr>
                <w:shd w:fill="FFFF00" w:val="clear"/>
              </w:rPr>
              <w:t>​</w:t>
            </w:r>
          </w:p>
        </w:tc>
        <w:tc>
          <w:tcPr>
            <w:tcW w:w="346" w:type="dxa"/>
            <w:gridSpan w:val="2"/>
            <w:tcBorders/>
            <w:vAlign w:val="center"/>
          </w:tcPr>
          <w:p>
            <w:pPr>
              <w:pStyle w:val="TableContents"/>
              <w:bidi w:val="0"/>
              <w:spacing w:before="0" w:after="0"/>
              <w:ind w:left="0" w:right="0" w:hanging="0"/>
              <w:jc w:val="left"/>
              <w:rPr>
                <w:shd w:fill="FFFF00" w:val="clear"/>
              </w:rPr>
            </w:pPr>
            <w:r>
              <w:rPr>
                <w:shd w:fill="FFFF00" w:val="clear"/>
              </w:rPr>
              <w:t>​</w:t>
            </w:r>
          </w:p>
        </w:tc>
        <w:tc>
          <w:tcPr>
            <w:tcW w:w="3560"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center"/>
              <w:rPr>
                <w:shd w:fill="FFFF00" w:val="clear"/>
              </w:rPr>
            </w:pPr>
            <w:r>
              <w:rPr>
                <w:shd w:fill="FFFF00" w:val="clear"/>
              </w:rPr>
              <w:t>​</w:t>
            </w:r>
          </w:p>
        </w:tc>
        <w:tc>
          <w:tcPr>
            <w:tcW w:w="519" w:type="dxa"/>
            <w:gridSpan w:val="3"/>
            <w:tcBorders/>
            <w:vAlign w:val="center"/>
          </w:tcPr>
          <w:p>
            <w:pPr>
              <w:pStyle w:val="TableContents"/>
              <w:bidi w:val="0"/>
              <w:spacing w:before="0" w:after="0"/>
              <w:ind w:left="0" w:right="0" w:hanging="0"/>
              <w:jc w:val="center"/>
              <w:rPr>
                <w:shd w:fill="FFFF00" w:val="clear"/>
              </w:rPr>
            </w:pPr>
            <w:r>
              <w:rPr>
                <w:shd w:fill="FFFF00" w:val="clear"/>
              </w:rPr>
              <w:t>​</w:t>
            </w:r>
          </w:p>
        </w:tc>
        <w:tc>
          <w:tcPr>
            <w:tcW w:w="346" w:type="dxa"/>
            <w:tcBorders/>
            <w:vAlign w:val="center"/>
          </w:tcPr>
          <w:p>
            <w:pPr>
              <w:pStyle w:val="TableContents"/>
              <w:bidi w:val="0"/>
              <w:spacing w:before="0" w:after="0"/>
              <w:ind w:left="0" w:right="0" w:hanging="0"/>
              <w:jc w:val="center"/>
              <w:rPr>
                <w:shd w:fill="FFFF00" w:val="clear"/>
              </w:rPr>
            </w:pPr>
            <w:r>
              <w:rPr>
                <w:shd w:fill="FFFF00" w:val="clear"/>
              </w:rPr>
              <w:t>​</w:t>
            </w:r>
          </w:p>
        </w:tc>
        <w:tc>
          <w:tcPr>
            <w:tcW w:w="791" w:type="dxa"/>
            <w:gridSpan w:val="3"/>
            <w:tcBorders/>
            <w:vAlign w:val="center"/>
          </w:tcPr>
          <w:p>
            <w:pPr>
              <w:pStyle w:val="TableContents"/>
              <w:bidi w:val="0"/>
              <w:spacing w:before="0" w:after="0"/>
              <w:ind w:left="0" w:right="0" w:hanging="0"/>
              <w:jc w:val="center"/>
              <w:rPr>
                <w:shd w:fill="FFFF00" w:val="clear"/>
              </w:rPr>
            </w:pPr>
            <w:r>
              <w:rPr>
                <w:shd w:fill="FFFF00" w:val="clear"/>
              </w:rPr>
              <w:t>​</w:t>
            </w:r>
          </w:p>
        </w:tc>
        <w:tc>
          <w:tcPr>
            <w:tcW w:w="346" w:type="dxa"/>
            <w:tcBorders/>
            <w:vAlign w:val="center"/>
          </w:tcPr>
          <w:p>
            <w:pPr>
              <w:pStyle w:val="TableContents"/>
              <w:bidi w:val="0"/>
              <w:spacing w:before="0" w:after="0"/>
              <w:ind w:left="0" w:right="0" w:hanging="0"/>
              <w:jc w:val="center"/>
              <w:rPr>
                <w:shd w:fill="FFFF00" w:val="clear"/>
              </w:rPr>
            </w:pPr>
            <w:r>
              <w:rPr>
                <w:shd w:fill="FFFF00" w:val="clear"/>
              </w:rPr>
              <w:t>​</w:t>
            </w:r>
          </w:p>
        </w:tc>
        <w:tc>
          <w:tcPr>
            <w:tcW w:w="631" w:type="dxa"/>
            <w:gridSpan w:val="3"/>
            <w:tcBorders/>
            <w:vAlign w:val="center"/>
          </w:tcPr>
          <w:p>
            <w:pPr>
              <w:pStyle w:val="TableContents"/>
              <w:bidi w:val="0"/>
              <w:spacing w:before="0" w:after="0"/>
              <w:ind w:left="0" w:right="0" w:hanging="0"/>
              <w:jc w:val="center"/>
              <w:rPr>
                <w:shd w:fill="FFFF00" w:val="clear"/>
              </w:rPr>
            </w:pPr>
            <w:r>
              <w:rPr>
                <w:shd w:fill="FFFF00" w:val="clear"/>
              </w:rPr>
              <w:t>​</w:t>
            </w:r>
          </w:p>
        </w:tc>
        <w:tc>
          <w:tcPr>
            <w:tcW w:w="346" w:type="dxa"/>
            <w:tcBorders/>
            <w:vAlign w:val="center"/>
          </w:tcPr>
          <w:p>
            <w:pPr>
              <w:pStyle w:val="TableContents"/>
              <w:bidi w:val="0"/>
              <w:spacing w:before="0" w:after="0"/>
              <w:ind w:left="0" w:right="0" w:hanging="0"/>
              <w:jc w:val="center"/>
              <w:rPr>
                <w:shd w:fill="FFFF00" w:val="clear"/>
              </w:rPr>
            </w:pPr>
            <w:r>
              <w:rPr>
                <w:shd w:fill="FFFF00" w:val="clear"/>
              </w:rPr>
              <w:t>​</w:t>
            </w:r>
          </w:p>
        </w:tc>
        <w:tc>
          <w:tcPr>
            <w:tcW w:w="937" w:type="dxa"/>
            <w:gridSpan w:val="3"/>
            <w:tcBorders/>
            <w:vAlign w:val="center"/>
          </w:tcPr>
          <w:p>
            <w:pPr>
              <w:pStyle w:val="TableContents"/>
              <w:bidi w:val="0"/>
              <w:spacing w:before="0" w:after="0"/>
              <w:ind w:left="0" w:right="0" w:hanging="0"/>
              <w:jc w:val="center"/>
              <w:rPr>
                <w:shd w:fill="FFFF00" w:val="clear"/>
              </w:rPr>
            </w:pPr>
            <w:r>
              <w:rPr>
                <w:shd w:fill="FFFF00" w:val="clear"/>
              </w:rPr>
              <w:t>​</w:t>
            </w:r>
          </w:p>
        </w:tc>
        <w:tc>
          <w:tcPr>
            <w:tcW w:w="346" w:type="dxa"/>
            <w:tcBorders/>
            <w:vAlign w:val="center"/>
          </w:tcPr>
          <w:p>
            <w:pPr>
              <w:pStyle w:val="TableContents"/>
              <w:bidi w:val="0"/>
              <w:spacing w:before="0" w:after="0"/>
              <w:ind w:left="0" w:right="0" w:hanging="0"/>
              <w:jc w:val="center"/>
              <w:rPr>
                <w:shd w:fill="FFFF00" w:val="clear"/>
              </w:rPr>
            </w:pPr>
            <w:r>
              <w:rPr>
                <w:shd w:fill="FFFF00" w:val="clear"/>
              </w:rPr>
              <w:t>​</w:t>
            </w:r>
          </w:p>
        </w:tc>
        <w:tc>
          <w:tcPr>
            <w:tcW w:w="826" w:type="dxa"/>
            <w:gridSpan w:val="3"/>
            <w:tcBorders/>
            <w:vAlign w:val="center"/>
          </w:tcPr>
          <w:p>
            <w:pPr>
              <w:pStyle w:val="TableContents"/>
              <w:bidi w:val="0"/>
              <w:spacing w:before="0" w:after="0"/>
              <w:ind w:left="0" w:right="0" w:hanging="0"/>
              <w:jc w:val="center"/>
              <w:rPr>
                <w:shd w:fill="FFFF00" w:val="clear"/>
              </w:rPr>
            </w:pPr>
            <w:r>
              <w:rPr>
                <w:shd w:fill="FFFF00" w:val="clea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First</w:t>
              </w:r>
            </w:hyperlink>
            <w:hyperlink r:id="rId25">
              <w:r>
                <w:rPr>
                  <w:rStyle w:val="InternetLink"/>
                  <w:rFonts w:ascii="Times New Roman;Times;serif" w:hAnsi="Times New Roman;Times;serif"/>
                  <w:caps w:val="false"/>
                  <w:smallCaps w:val="false"/>
                  <w:sz w:val="20"/>
                </w:rPr>
                <w:t xml:space="preserve"> </w:t>
              </w:r>
            </w:hyperlink>
            <w:hyperlink r:id="rId26">
              <w:r>
                <w:rPr>
                  <w:rStyle w:val="InternetLink"/>
                  <w:rFonts w:ascii="Times New Roman;Times;serif" w:hAnsi="Times New Roman;Times;serif"/>
                  <w:b w:val="false"/>
                  <w:i w:val="false"/>
                  <w:caps w:val="false"/>
                  <w:smallCaps w:val="false"/>
                  <w:sz w:val="20"/>
                </w:rPr>
                <w:t>Amendment to Second Amended and Restated Separation and Shared Services Agreement, dated March 3, 2021, by and between BioXcel LLC and BioXcel Therapeutics Inc</w:t>
              </w:r>
            </w:hyperlink>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03/12/2021</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Second Amendment to Second Amended and Restated Separation and Shared Services Agreement, dated March 3, 2021, by and between BioXcel LLC and BioXcel Therapeutics Inc.</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05/09/2022</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Amended and Restated Asset Contribution Agreement, effective November 7, 2017, by and between BioXcel LLC and BioXcel Therapeutics, Inc.</w:t>
              </w:r>
            </w:hyperlink>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333-222990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3"/>
        <w:gridCol w:w="230"/>
        <w:gridCol w:w="243"/>
        <w:gridCol w:w="103"/>
        <w:gridCol w:w="3520"/>
        <w:gridCol w:w="346"/>
        <w:gridCol w:w="76"/>
        <w:gridCol w:w="364"/>
        <w:gridCol w:w="78"/>
        <w:gridCol w:w="346"/>
        <w:gridCol w:w="150"/>
        <w:gridCol w:w="527"/>
        <w:gridCol w:w="109"/>
        <w:gridCol w:w="346"/>
        <w:gridCol w:w="93"/>
        <w:gridCol w:w="443"/>
        <w:gridCol w:w="95"/>
        <w:gridCol w:w="346"/>
        <w:gridCol w:w="138"/>
        <w:gridCol w:w="658"/>
        <w:gridCol w:w="140"/>
        <w:gridCol w:w="346"/>
        <w:gridCol w:w="122"/>
        <w:gridCol w:w="580"/>
        <w:gridCol w:w="124"/>
        <w:gridCol w:w="159"/>
      </w:tblGrid>
      <w:tr>
        <w:trPr/>
        <w:tc>
          <w:tcPr>
            <w:tcW w:w="52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5735" cy="29210"/>
                      <wp:effectExtent l="0" t="0" r="0" b="0"/>
                      <wp:wrapNone/>
                      <wp:docPr id="183" name="Frame179"/>
                      <a:graphic xmlns:a="http://schemas.openxmlformats.org/drawingml/2006/main">
                        <a:graphicData uri="http://schemas.microsoft.com/office/word/2010/wordprocessingShape">
                          <wps:wsp>
                            <wps:cNvSpPr txBox="1"/>
                            <wps:spPr>
                              <a:xfrm>
                                <a:off x="0" y="0"/>
                                <a:ext cx="165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73"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9860" cy="29210"/>
                      <wp:effectExtent l="0" t="0" r="0" b="0"/>
                      <wp:wrapNone/>
                      <wp:docPr id="184" name="Frame180"/>
                      <a:graphic xmlns:a="http://schemas.openxmlformats.org/drawingml/2006/main">
                        <a:graphicData uri="http://schemas.microsoft.com/office/word/2010/wordprocessingShape">
                          <wps:wsp>
                            <wps:cNvSpPr txBox="1"/>
                            <wps:spPr>
                              <a:xfrm>
                                <a:off x="0" y="0"/>
                                <a:ext cx="149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45"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83970" cy="29210"/>
                      <wp:effectExtent l="0" t="0" r="0" b="0"/>
                      <wp:wrapNone/>
                      <wp:docPr id="185" name="Frame181"/>
                      <a:graphic xmlns:a="http://schemas.openxmlformats.org/drawingml/2006/main">
                        <a:graphicData uri="http://schemas.microsoft.com/office/word/2010/wordprocessingShape">
                          <wps:wsp>
                            <wps:cNvSpPr txBox="1"/>
                            <wps:spPr>
                              <a:xfrm>
                                <a:off x="0" y="0"/>
                                <a:ext cx="12839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15570" cy="29210"/>
                      <wp:effectExtent l="0" t="0" r="0" b="0"/>
                      <wp:wrapNone/>
                      <wp:docPr id="186" name="Frame182"/>
                      <a:graphic xmlns:a="http://schemas.openxmlformats.org/drawingml/2006/main">
                        <a:graphicData uri="http://schemas.microsoft.com/office/word/2010/wordprocessingShape">
                          <wps:wsp>
                            <wps:cNvSpPr txBox="1"/>
                            <wps:spPr>
                              <a:xfrm>
                                <a:off x="0" y="0"/>
                                <a:ext cx="1155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4"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82245" cy="29210"/>
                      <wp:effectExtent l="0" t="0" r="0" b="0"/>
                      <wp:wrapNone/>
                      <wp:docPr id="187" name="Frame183"/>
                      <a:graphic xmlns:a="http://schemas.openxmlformats.org/drawingml/2006/main">
                        <a:graphicData uri="http://schemas.microsoft.com/office/word/2010/wordprocessingShape">
                          <wps:wsp>
                            <wps:cNvSpPr txBox="1"/>
                            <wps:spPr>
                              <a:xfrm>
                                <a:off x="0" y="0"/>
                                <a:ext cx="182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7005" cy="29210"/>
                      <wp:effectExtent l="0" t="0" r="0" b="0"/>
                      <wp:wrapNone/>
                      <wp:docPr id="188" name="Frame184"/>
                      <a:graphic xmlns:a="http://schemas.openxmlformats.org/drawingml/2006/main">
                        <a:graphicData uri="http://schemas.microsoft.com/office/word/2010/wordprocessingShape">
                          <wps:wsp>
                            <wps:cNvSpPr txBox="1"/>
                            <wps:spPr>
                              <a:xfrm>
                                <a:off x="0" y="0"/>
                                <a:ext cx="167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8"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3990" cy="29210"/>
                      <wp:effectExtent l="0" t="0" r="0" b="0"/>
                      <wp:wrapNone/>
                      <wp:docPr id="189" name="Frame185"/>
                      <a:graphic xmlns:a="http://schemas.openxmlformats.org/drawingml/2006/main">
                        <a:graphicData uri="http://schemas.microsoft.com/office/word/2010/wordprocessingShape">
                          <wps:wsp>
                            <wps:cNvSpPr txBox="1"/>
                            <wps:spPr>
                              <a:xfrm>
                                <a:off x="0" y="0"/>
                                <a:ext cx="1739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0335" cy="29210"/>
                      <wp:effectExtent l="0" t="0" r="0" b="0"/>
                      <wp:wrapNone/>
                      <wp:docPr id="190" name="Frame186"/>
                      <a:graphic xmlns:a="http://schemas.openxmlformats.org/drawingml/2006/main">
                        <a:graphicData uri="http://schemas.microsoft.com/office/word/2010/wordprocessingShape">
                          <wps:wsp>
                            <wps:cNvSpPr txBox="1"/>
                            <wps:spPr>
                              <a:xfrm>
                                <a:off x="0" y="0"/>
                                <a:ext cx="140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9"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83515" cy="29210"/>
                      <wp:effectExtent l="0" t="0" r="0" b="0"/>
                      <wp:wrapNone/>
                      <wp:docPr id="191" name="Frame187"/>
                      <a:graphic xmlns:a="http://schemas.openxmlformats.org/drawingml/2006/main">
                        <a:graphicData uri="http://schemas.microsoft.com/office/word/2010/wordprocessingShape">
                          <wps:wsp>
                            <wps:cNvSpPr txBox="1"/>
                            <wps:spPr>
                              <a:xfrm>
                                <a:off x="0" y="0"/>
                                <a:ext cx="183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8915" cy="29210"/>
                      <wp:effectExtent l="0" t="0" r="0" b="0"/>
                      <wp:wrapNone/>
                      <wp:docPr id="192" name="Frame188"/>
                      <a:graphic xmlns:a="http://schemas.openxmlformats.org/drawingml/2006/main">
                        <a:graphicData uri="http://schemas.microsoft.com/office/word/2010/wordprocessingShape">
                          <wps:wsp>
                            <wps:cNvSpPr txBox="1"/>
                            <wps:spPr>
                              <a:xfrm>
                                <a:off x="0" y="0"/>
                                <a:ext cx="2089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8"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93040" cy="29210"/>
                      <wp:effectExtent l="0" t="0" r="0" b="0"/>
                      <wp:wrapNone/>
                      <wp:docPr id="193" name="Frame189"/>
                      <a:graphic xmlns:a="http://schemas.openxmlformats.org/drawingml/2006/main">
                        <a:graphicData uri="http://schemas.microsoft.com/office/word/2010/wordprocessingShape">
                          <wps:wsp>
                            <wps:cNvSpPr txBox="1"/>
                            <wps:spPr>
                              <a:xfrm>
                                <a:off x="0" y="0"/>
                                <a:ext cx="1930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84150" cy="29210"/>
                      <wp:effectExtent l="0" t="0" r="0" b="0"/>
                      <wp:wrapNone/>
                      <wp:docPr id="194" name="Frame190"/>
                      <a:graphic xmlns:a="http://schemas.openxmlformats.org/drawingml/2006/main">
                        <a:graphicData uri="http://schemas.microsoft.com/office/word/2010/wordprocessingShape">
                          <wps:wsp>
                            <wps:cNvSpPr txBox="1"/>
                            <wps:spPr>
                              <a:xfrm>
                                <a:off x="0" y="0"/>
                                <a:ext cx="184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3"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89535" cy="29210"/>
                      <wp:effectExtent l="0" t="0" r="0" b="0"/>
                      <wp:wrapNone/>
                      <wp:docPr id="195" name="Frame191"/>
                      <a:graphic xmlns:a="http://schemas.openxmlformats.org/drawingml/2006/main">
                        <a:graphicData uri="http://schemas.microsoft.com/office/word/2010/wordprocessingShape">
                          <wps:wsp>
                            <wps:cNvSpPr txBox="1"/>
                            <wps:spPr>
                              <a:xfrm>
                                <a:off x="0" y="0"/>
                                <a:ext cx="8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3"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gridSpan w:val="2"/>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52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8"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8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93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2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c>
          <w:tcPr>
            <w:tcW w:w="1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Lease Agreement, dated as of August 20, 2018, by and between Fusco Harbour Associates, LLC, as Landlord, and BioXcel Therapeutics, Inc., as Tenant</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08/23/2018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First Amendment, dated August 19, 2020, to Lease Agreement, dated as of August 20, 2018, by and between Fusco Harbour Associates, LLC, as Landlord, and BioXcel Therapeutics, Inc., as Tenant</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11/12/2020</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10.7</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2017 Equity Incentive Plan</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333-222990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10.8</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Form of Incentive Stock Option Agreement under the 2017 Equity Incentive Plan</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333-222990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10.9</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Form of Non-Statutory Stock Option Agreement under the 2017 Equity Incentive Plan</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333-222990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10.10</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BioXcel Therapeutics, Inc. 2020 Incentive Award Plan and forms of award agreements thereunder</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08/14/2020</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10.11</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BioXcel Therapeutics, Inc. 2020 Employee Stock Purchase Plan</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08/14/2020</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10.12</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Form of Indemnification Agreement with directors and executive officers</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333-222990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10.13</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Employment Agreement, dated March 7, 2018 by and between BioXcel Therapeutics, Inc. and Vimal Mehta</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03/13/2018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10.13.1</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Amendment to Employment Agreement, dated January 7, 2025 by and between BioXcel Therapeutics, Inc. and Vimal Mehta</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01/08/2025</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10.14</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Employment Agreement, dated February 12, 2018, by and between BioXcel Therapeutics, Inc. and Frank Yocca</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333-222990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10.14.1</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Amendment to Employment Agreement, dated January 7, 2025 by and between BioXcel Therapeutics, Inc. and Frank Yocca</w:t>
              </w:r>
            </w:hyperlink>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01/08/2025</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3"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57"/>
        <w:gridCol w:w="233"/>
        <w:gridCol w:w="243"/>
        <w:gridCol w:w="103"/>
        <w:gridCol w:w="3500"/>
        <w:gridCol w:w="346"/>
        <w:gridCol w:w="75"/>
        <w:gridCol w:w="363"/>
        <w:gridCol w:w="77"/>
        <w:gridCol w:w="346"/>
        <w:gridCol w:w="114"/>
        <w:gridCol w:w="545"/>
        <w:gridCol w:w="117"/>
        <w:gridCol w:w="346"/>
        <w:gridCol w:w="93"/>
        <w:gridCol w:w="443"/>
        <w:gridCol w:w="95"/>
        <w:gridCol w:w="346"/>
        <w:gridCol w:w="137"/>
        <w:gridCol w:w="655"/>
        <w:gridCol w:w="139"/>
        <w:gridCol w:w="346"/>
        <w:gridCol w:w="122"/>
        <w:gridCol w:w="580"/>
        <w:gridCol w:w="124"/>
        <w:gridCol w:w="160"/>
      </w:tblGrid>
      <w:tr>
        <w:trPr/>
        <w:tc>
          <w:tcPr>
            <w:tcW w:w="55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6530" cy="29210"/>
                      <wp:effectExtent l="0" t="0" r="0" b="0"/>
                      <wp:wrapNone/>
                      <wp:docPr id="196" name="Frame192"/>
                      <a:graphic xmlns:a="http://schemas.openxmlformats.org/drawingml/2006/main">
                        <a:graphicData uri="http://schemas.microsoft.com/office/word/2010/wordprocessingShape">
                          <wps:wsp>
                            <wps:cNvSpPr txBox="1"/>
                            <wps:spPr>
                              <a:xfrm>
                                <a:off x="0" y="0"/>
                                <a:ext cx="1765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76"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1130" cy="29210"/>
                      <wp:effectExtent l="0" t="0" r="0" b="0"/>
                      <wp:wrapNone/>
                      <wp:docPr id="197" name="Frame193"/>
                      <a:graphic xmlns:a="http://schemas.openxmlformats.org/drawingml/2006/main">
                        <a:graphicData uri="http://schemas.microsoft.com/office/word/2010/wordprocessingShape">
                          <wps:wsp>
                            <wps:cNvSpPr txBox="1"/>
                            <wps:spPr>
                              <a:xfrm>
                                <a:off x="0" y="0"/>
                                <a:ext cx="151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24"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77620" cy="29210"/>
                      <wp:effectExtent l="0" t="0" r="0" b="0"/>
                      <wp:wrapNone/>
                      <wp:docPr id="198" name="Frame194"/>
                      <a:graphic xmlns:a="http://schemas.openxmlformats.org/drawingml/2006/main">
                        <a:graphicData uri="http://schemas.microsoft.com/office/word/2010/wordprocessingShape">
                          <wps:wsp>
                            <wps:cNvSpPr txBox="1"/>
                            <wps:spPr>
                              <a:xfrm>
                                <a:off x="0" y="0"/>
                                <a:ext cx="12776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14935" cy="29210"/>
                      <wp:effectExtent l="0" t="0" r="0" b="0"/>
                      <wp:wrapNone/>
                      <wp:docPr id="199" name="Frame195"/>
                      <a:graphic xmlns:a="http://schemas.openxmlformats.org/drawingml/2006/main">
                        <a:graphicData uri="http://schemas.microsoft.com/office/word/2010/wordprocessingShape">
                          <wps:wsp>
                            <wps:cNvSpPr txBox="1"/>
                            <wps:spPr>
                              <a:xfrm>
                                <a:off x="0" y="0"/>
                                <a:ext cx="114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7"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0180" cy="29210"/>
                      <wp:effectExtent l="0" t="0" r="0" b="0"/>
                      <wp:wrapNone/>
                      <wp:docPr id="200" name="Frame196"/>
                      <a:graphic xmlns:a="http://schemas.openxmlformats.org/drawingml/2006/main">
                        <a:graphicData uri="http://schemas.microsoft.com/office/word/2010/wordprocessingShape">
                          <wps:wsp>
                            <wps:cNvSpPr txBox="1"/>
                            <wps:spPr>
                              <a:xfrm>
                                <a:off x="0" y="0"/>
                                <a:ext cx="1701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2720" cy="29210"/>
                      <wp:effectExtent l="0" t="0" r="0" b="0"/>
                      <wp:wrapNone/>
                      <wp:docPr id="201" name="Frame197"/>
                      <a:graphic xmlns:a="http://schemas.openxmlformats.org/drawingml/2006/main">
                        <a:graphicData uri="http://schemas.microsoft.com/office/word/2010/wordprocessingShape">
                          <wps:wsp>
                            <wps:cNvSpPr txBox="1"/>
                            <wps:spPr>
                              <a:xfrm>
                                <a:off x="0" y="0"/>
                                <a:ext cx="1727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56"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6530" cy="29210"/>
                      <wp:effectExtent l="0" t="0" r="0" b="0"/>
                      <wp:wrapNone/>
                      <wp:docPr id="202" name="Frame198"/>
                      <a:graphic xmlns:a="http://schemas.openxmlformats.org/drawingml/2006/main">
                        <a:graphicData uri="http://schemas.microsoft.com/office/word/2010/wordprocessingShape">
                          <wps:wsp>
                            <wps:cNvSpPr txBox="1"/>
                            <wps:spPr>
                              <a:xfrm>
                                <a:off x="0" y="0"/>
                                <a:ext cx="1765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0335" cy="29210"/>
                      <wp:effectExtent l="0" t="0" r="0" b="0"/>
                      <wp:wrapNone/>
                      <wp:docPr id="203" name="Frame199"/>
                      <a:graphic xmlns:a="http://schemas.openxmlformats.org/drawingml/2006/main">
                        <a:graphicData uri="http://schemas.microsoft.com/office/word/2010/wordprocessingShape">
                          <wps:wsp>
                            <wps:cNvSpPr txBox="1"/>
                            <wps:spPr>
                              <a:xfrm>
                                <a:off x="0" y="0"/>
                                <a:ext cx="140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8"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3515" cy="29210"/>
                      <wp:effectExtent l="0" t="0" r="0" b="0"/>
                      <wp:wrapNone/>
                      <wp:docPr id="204" name="Frame200"/>
                      <a:graphic xmlns:a="http://schemas.openxmlformats.org/drawingml/2006/main">
                        <a:graphicData uri="http://schemas.microsoft.com/office/word/2010/wordprocessingShape">
                          <wps:wsp>
                            <wps:cNvSpPr txBox="1"/>
                            <wps:spPr>
                              <a:xfrm>
                                <a:off x="0" y="0"/>
                                <a:ext cx="183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645" cy="29210"/>
                      <wp:effectExtent l="0" t="0" r="0" b="0"/>
                      <wp:wrapNone/>
                      <wp:docPr id="205" name="Frame201"/>
                      <a:graphic xmlns:a="http://schemas.openxmlformats.org/drawingml/2006/main">
                        <a:graphicData uri="http://schemas.microsoft.com/office/word/2010/wordprocessingShape">
                          <wps:wsp>
                            <wps:cNvSpPr txBox="1"/>
                            <wps:spPr>
                              <a:xfrm>
                                <a:off x="0" y="0"/>
                                <a:ext cx="2076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7"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92405" cy="29210"/>
                      <wp:effectExtent l="0" t="0" r="0" b="0"/>
                      <wp:wrapNone/>
                      <wp:docPr id="206" name="Frame202"/>
                      <a:graphic xmlns:a="http://schemas.openxmlformats.org/drawingml/2006/main">
                        <a:graphicData uri="http://schemas.microsoft.com/office/word/2010/wordprocessingShape">
                          <wps:wsp>
                            <wps:cNvSpPr txBox="1"/>
                            <wps:spPr>
                              <a:xfrm>
                                <a:off x="0" y="0"/>
                                <a:ext cx="1924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4150" cy="29210"/>
                      <wp:effectExtent l="0" t="0" r="0" b="0"/>
                      <wp:wrapNone/>
                      <wp:docPr id="207" name="Frame203"/>
                      <a:graphic xmlns:a="http://schemas.openxmlformats.org/drawingml/2006/main">
                        <a:graphicData uri="http://schemas.microsoft.com/office/word/2010/wordprocessingShape">
                          <wps:wsp>
                            <wps:cNvSpPr txBox="1"/>
                            <wps:spPr>
                              <a:xfrm>
                                <a:off x="0" y="0"/>
                                <a:ext cx="184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4"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0170" cy="29210"/>
                      <wp:effectExtent l="0" t="0" r="0" b="0"/>
                      <wp:wrapNone/>
                      <wp:docPr id="208" name="Frame204"/>
                      <a:graphic xmlns:a="http://schemas.openxmlformats.org/drawingml/2006/main">
                        <a:graphicData uri="http://schemas.microsoft.com/office/word/2010/wordprocessingShape">
                          <wps:wsp>
                            <wps:cNvSpPr txBox="1"/>
                            <wps:spPr>
                              <a:xfrm>
                                <a:off x="0" y="0"/>
                                <a:ext cx="901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90"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gridSpan w:val="2"/>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50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5"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7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93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2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c>
          <w:tcPr>
            <w:tcW w:w="160"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90"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10.15</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Employment Agreement, effective October 2, 2017, by and between BioXcel Therapeutics, Inc. and Richard Steinhart</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333-222990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10.15.1</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Amendment to Employment Agreement, dated January 7, 2025 by and between BioXcel Therapeutics, Inc. and Richard Steinhart</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01/08/2025</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10.16</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Employment Agreement, dated June 1, 2018, by and between BioXcel Therapeutics, Inc. and Dr. Vincent O’Neill, M.D.</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06/07/2018</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10.17</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Employment Agreement between Javier Rodriguez and BioXcel Therapeutics, Inc., dated February 15, 2021.</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10.19</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03/12/2021</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283"/>
              <w:ind w:left="0" w:right="0" w:hanging="0"/>
              <w:jc w:val="left"/>
              <w:rPr>
                <w:sz w:val="4"/>
                <w:szCs w:val="4"/>
              </w:rPr>
            </w:pPr>
            <w:r>
              <w:rPr>
                <w:sz w:val="4"/>
                <w:szCs w:val="4"/>
              </w:rPr>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10.18</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Separation Agreement between Matthew Wiley and BioXcel Therapeutics, Inc., dated October 3, 2024.</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10/09/2024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10.18.1</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Consulting Agreement between Matthew Wiley and BioXcel Therapeutics, Inc. dated October 8, 2024</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10/09/2024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10.19@</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Employment Agreement BioXcel Therapeutics, Inc. and Vincent O’Neill, M.D. dated July 1, 2022</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05/08/2023</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10.20</w:t>
            </w:r>
            <w:r>
              <w:rPr>
                <w:rFonts w:ascii="Times New Roman;Times;serif" w:hAnsi="Times New Roman;Times;serif"/>
                <w:sz w:val="15"/>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Non-Employee Director Compensation Program</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08/11/2022</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BioXcel Trademark License Agreement, between the Company and BioXcel LLC</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05/09/2022</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10.22+&amp;</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Credit Agreement and Guaranty, by and among BioXcel Therapeutic, Inc., Oaktree Fund Administration, LLC, the Subsidiary Guarantors from time to time party thereto and the Lenders from time to time party thereto, dated April 19, 2022</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08/11/2022</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10.22.1+&amp;</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Waiver and First Amendment to Credit Agreement and Guaranty, by and between the Company, the lenders party thereto and Oaktree Fund Administration LLC dated November 13, 2023.</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11/14/2023</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p>
        </w:tc>
      </w:tr>
      <w:tr>
        <w:trPr/>
        <w:tc>
          <w:tcPr>
            <w:tcW w:w="7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10.22.2&amp;</w:t>
            </w:r>
          </w:p>
        </w:tc>
        <w:tc>
          <w:tcPr>
            <w:tcW w:w="346" w:type="dxa"/>
            <w:gridSpan w:val="2"/>
            <w:tcBorders/>
            <w:vAlign w:val="center"/>
          </w:tcPr>
          <w:p>
            <w:pPr>
              <w:pStyle w:val="TableContents"/>
              <w:bidi w:val="0"/>
              <w:spacing w:before="0" w:after="0"/>
              <w:ind w:left="0" w:right="0" w:hanging="0"/>
              <w:jc w:val="left"/>
              <w:rPr/>
            </w:pPr>
            <w:r>
              <w:rPr/>
              <w:t>​</w:t>
            </w:r>
          </w:p>
        </w:tc>
        <w:tc>
          <w:tcPr>
            <w:tcW w:w="3500" w:type="dxa"/>
            <w:tcBorders/>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 xml:space="preserve">Second Amendment to Credit Agreement and Guaranty and Termination of Revenue Interest Financing Agreement dated </w:t>
              </w:r>
            </w:hyperlink>
          </w:p>
        </w:tc>
        <w:tc>
          <w:tcPr>
            <w:tcW w:w="346" w:type="dxa"/>
            <w:tcBorders/>
            <w:vAlign w:val="center"/>
          </w:tcPr>
          <w:p>
            <w:pPr>
              <w:pStyle w:val="TableContents"/>
              <w:bidi w:val="0"/>
              <w:spacing w:before="0" w:after="0"/>
              <w:ind w:left="0" w:right="0" w:hanging="0"/>
              <w:jc w:val="center"/>
              <w:rPr/>
            </w:pPr>
            <w:r>
              <w:rPr/>
              <w:t>​</w:t>
            </w:r>
          </w:p>
        </w:tc>
        <w:tc>
          <w:tcPr>
            <w:tcW w:w="5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7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02/08/2024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4"/>
        <w:gridCol w:w="230"/>
        <w:gridCol w:w="243"/>
        <w:gridCol w:w="103"/>
        <w:gridCol w:w="3534"/>
        <w:gridCol w:w="346"/>
        <w:gridCol w:w="75"/>
        <w:gridCol w:w="359"/>
        <w:gridCol w:w="77"/>
        <w:gridCol w:w="346"/>
        <w:gridCol w:w="103"/>
        <w:gridCol w:w="492"/>
        <w:gridCol w:w="104"/>
        <w:gridCol w:w="346"/>
        <w:gridCol w:w="106"/>
        <w:gridCol w:w="506"/>
        <w:gridCol w:w="109"/>
        <w:gridCol w:w="346"/>
        <w:gridCol w:w="136"/>
        <w:gridCol w:w="651"/>
        <w:gridCol w:w="138"/>
        <w:gridCol w:w="346"/>
        <w:gridCol w:w="122"/>
        <w:gridCol w:w="580"/>
        <w:gridCol w:w="124"/>
        <w:gridCol w:w="159"/>
      </w:tblGrid>
      <w:tr>
        <w:trPr/>
        <w:tc>
          <w:tcPr>
            <w:tcW w:w="52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6370" cy="29210"/>
                      <wp:effectExtent l="0" t="0" r="0" b="0"/>
                      <wp:wrapNone/>
                      <wp:docPr id="209" name="Frame205"/>
                      <a:graphic xmlns:a="http://schemas.openxmlformats.org/drawingml/2006/main">
                        <a:graphicData uri="http://schemas.microsoft.com/office/word/2010/wordprocessingShape">
                          <wps:wsp>
                            <wps:cNvSpPr txBox="1"/>
                            <wps:spPr>
                              <a:xfrm>
                                <a:off x="0" y="0"/>
                                <a:ext cx="1663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73"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9860" cy="29210"/>
                      <wp:effectExtent l="0" t="0" r="0" b="0"/>
                      <wp:wrapNone/>
                      <wp:docPr id="210" name="Frame206"/>
                      <a:graphic xmlns:a="http://schemas.openxmlformats.org/drawingml/2006/main">
                        <a:graphicData uri="http://schemas.microsoft.com/office/word/2010/wordprocessingShape">
                          <wps:wsp>
                            <wps:cNvSpPr txBox="1"/>
                            <wps:spPr>
                              <a:xfrm>
                                <a:off x="0" y="0"/>
                                <a:ext cx="149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58"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88415" cy="29210"/>
                      <wp:effectExtent l="0" t="0" r="0" b="0"/>
                      <wp:wrapNone/>
                      <wp:docPr id="211" name="Frame207"/>
                      <a:graphic xmlns:a="http://schemas.openxmlformats.org/drawingml/2006/main">
                        <a:graphicData uri="http://schemas.microsoft.com/office/word/2010/wordprocessingShape">
                          <wps:wsp>
                            <wps:cNvSpPr txBox="1"/>
                            <wps:spPr>
                              <a:xfrm>
                                <a:off x="0" y="0"/>
                                <a:ext cx="12884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5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3665" cy="29210"/>
                      <wp:effectExtent l="0" t="0" r="0" b="0"/>
                      <wp:wrapNone/>
                      <wp:docPr id="212" name="Frame208"/>
                      <a:graphic xmlns:a="http://schemas.openxmlformats.org/drawingml/2006/main">
                        <a:graphicData uri="http://schemas.microsoft.com/office/word/2010/wordprocessingShape">
                          <wps:wsp>
                            <wps:cNvSpPr txBox="1"/>
                            <wps:spPr>
                              <a:xfrm>
                                <a:off x="0" y="0"/>
                                <a:ext cx="1136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7005" cy="29210"/>
                      <wp:effectExtent l="0" t="0" r="0" b="0"/>
                      <wp:wrapNone/>
                      <wp:docPr id="213" name="Frame209"/>
                      <a:graphic xmlns:a="http://schemas.openxmlformats.org/drawingml/2006/main">
                        <a:graphicData uri="http://schemas.microsoft.com/office/word/2010/wordprocessingShape">
                          <wps:wsp>
                            <wps:cNvSpPr txBox="1"/>
                            <wps:spPr>
                              <a:xfrm>
                                <a:off x="0" y="0"/>
                                <a:ext cx="167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9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6210" cy="29210"/>
                      <wp:effectExtent l="0" t="0" r="0" b="0"/>
                      <wp:wrapNone/>
                      <wp:docPr id="214" name="Frame210"/>
                      <a:graphic xmlns:a="http://schemas.openxmlformats.org/drawingml/2006/main">
                        <a:graphicData uri="http://schemas.microsoft.com/office/word/2010/wordprocessingShape">
                          <wps:wsp>
                            <wps:cNvSpPr txBox="1"/>
                            <wps:spPr>
                              <a:xfrm>
                                <a:off x="0" y="0"/>
                                <a:ext cx="156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56"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6530" cy="29210"/>
                      <wp:effectExtent l="0" t="0" r="0" b="0"/>
                      <wp:wrapNone/>
                      <wp:docPr id="215" name="Frame211"/>
                      <a:graphic xmlns:a="http://schemas.openxmlformats.org/drawingml/2006/main">
                        <a:graphicData uri="http://schemas.microsoft.com/office/word/2010/wordprocessingShape">
                          <wps:wsp>
                            <wps:cNvSpPr txBox="1"/>
                            <wps:spPr>
                              <a:xfrm>
                                <a:off x="0" y="0"/>
                                <a:ext cx="1765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60655" cy="29210"/>
                      <wp:effectExtent l="0" t="0" r="0" b="0"/>
                      <wp:wrapNone/>
                      <wp:docPr id="216" name="Frame212"/>
                      <a:graphic xmlns:a="http://schemas.openxmlformats.org/drawingml/2006/main">
                        <a:graphicData uri="http://schemas.microsoft.com/office/word/2010/wordprocessingShape">
                          <wps:wsp>
                            <wps:cNvSpPr txBox="1"/>
                            <wps:spPr>
                              <a:xfrm>
                                <a:off x="0" y="0"/>
                                <a:ext cx="160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91"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7325" cy="29210"/>
                      <wp:effectExtent l="0" t="0" r="0" b="0"/>
                      <wp:wrapNone/>
                      <wp:docPr id="217" name="Frame213"/>
                      <a:graphic xmlns:a="http://schemas.openxmlformats.org/drawingml/2006/main">
                        <a:graphicData uri="http://schemas.microsoft.com/office/word/2010/wordprocessingShape">
                          <wps:wsp>
                            <wps:cNvSpPr txBox="1"/>
                            <wps:spPr>
                              <a:xfrm>
                                <a:off x="0" y="0"/>
                                <a:ext cx="187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6375" cy="29210"/>
                      <wp:effectExtent l="0" t="0" r="0" b="0"/>
                      <wp:wrapNone/>
                      <wp:docPr id="218" name="Frame214"/>
                      <a:graphic xmlns:a="http://schemas.openxmlformats.org/drawingml/2006/main">
                        <a:graphicData uri="http://schemas.microsoft.com/office/word/2010/wordprocessingShape">
                          <wps:wsp>
                            <wps:cNvSpPr txBox="1"/>
                            <wps:spPr>
                              <a:xfrm>
                                <a:off x="0" y="0"/>
                                <a:ext cx="2063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6"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92405" cy="29210"/>
                      <wp:effectExtent l="0" t="0" r="0" b="0"/>
                      <wp:wrapNone/>
                      <wp:docPr id="219" name="Frame215"/>
                      <a:graphic xmlns:a="http://schemas.openxmlformats.org/drawingml/2006/main">
                        <a:graphicData uri="http://schemas.microsoft.com/office/word/2010/wordprocessingShape">
                          <wps:wsp>
                            <wps:cNvSpPr txBox="1"/>
                            <wps:spPr>
                              <a:xfrm>
                                <a:off x="0" y="0"/>
                                <a:ext cx="1924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84150" cy="29210"/>
                      <wp:effectExtent l="0" t="0" r="0" b="0"/>
                      <wp:wrapNone/>
                      <wp:docPr id="220" name="Frame216"/>
                      <a:graphic xmlns:a="http://schemas.openxmlformats.org/drawingml/2006/main">
                        <a:graphicData uri="http://schemas.microsoft.com/office/word/2010/wordprocessingShape">
                          <wps:wsp>
                            <wps:cNvSpPr txBox="1"/>
                            <wps:spPr>
                              <a:xfrm>
                                <a:off x="0" y="0"/>
                                <a:ext cx="184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3"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89535" cy="29210"/>
                      <wp:effectExtent l="0" t="0" r="0" b="0"/>
                      <wp:wrapNone/>
                      <wp:docPr id="221" name="Frame217"/>
                      <a:graphic xmlns:a="http://schemas.openxmlformats.org/drawingml/2006/main">
                        <a:graphicData uri="http://schemas.microsoft.com/office/word/2010/wordprocessingShape">
                          <wps:wsp>
                            <wps:cNvSpPr txBox="1"/>
                            <wps:spPr>
                              <a:xfrm>
                                <a:off x="0" y="0"/>
                                <a:ext cx="8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4"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gridSpan w:val="2"/>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53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99"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2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925"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2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c>
          <w:tcPr>
            <w:tcW w:w="1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54" w:type="dxa"/>
            <w:gridSpan w:val="2"/>
            <w:tcBorders/>
            <w:vAlign w:val="center"/>
          </w:tcPr>
          <w:p>
            <w:pPr>
              <w:pStyle w:val="TableContents"/>
              <w:bidi w:val="0"/>
              <w:spacing w:before="0" w:after="283"/>
              <w:ind w:left="0" w:right="0" w:hanging="0"/>
              <w:jc w:val="left"/>
              <w:rPr>
                <w:sz w:val="4"/>
                <w:szCs w:val="4"/>
              </w:rPr>
            </w:pPr>
            <w:r>
              <w:rPr>
                <w:sz w:val="4"/>
                <w:szCs w:val="4"/>
              </w:rPr>
            </w:r>
          </w:p>
        </w:tc>
        <w:tc>
          <w:tcPr>
            <w:tcW w:w="346" w:type="dxa"/>
            <w:gridSpan w:val="2"/>
            <w:tcBorders/>
            <w:vAlign w:val="center"/>
          </w:tcPr>
          <w:p>
            <w:pPr>
              <w:pStyle w:val="TableContents"/>
              <w:bidi w:val="0"/>
              <w:spacing w:before="0" w:after="283"/>
              <w:ind w:left="0" w:right="0" w:hanging="0"/>
              <w:jc w:val="left"/>
              <w:rPr>
                <w:sz w:val="4"/>
                <w:szCs w:val="4"/>
              </w:rPr>
            </w:pPr>
            <w:r>
              <w:rPr>
                <w:sz w:val="4"/>
                <w:szCs w:val="4"/>
              </w:rPr>
            </w:r>
          </w:p>
        </w:tc>
        <w:tc>
          <w:tcPr>
            <w:tcW w:w="3534"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December 5, 2023, to the Credit Agreement and Guaranty, dated April 19, 2022, by and among the Company, as the borrower, certain subsidiaries of the Company from time to time party thereto as subsidiary guarantors, the lenders party thereto, and Oaktree Fund Administration LLC, as administrative agent (as amended)</w:t>
              </w:r>
            </w:hyperlink>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gridSpan w:val="3"/>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9" w:type="dxa"/>
            <w:gridSpan w:val="3"/>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1" w:type="dxa"/>
            <w:gridSpan w:val="3"/>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25" w:type="dxa"/>
            <w:gridSpan w:val="3"/>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26" w:type="dxa"/>
            <w:gridSpan w:val="3"/>
            <w:tcBorders/>
            <w:vAlign w:val="center"/>
          </w:tcPr>
          <w:p>
            <w:pPr>
              <w:pStyle w:val="TableContents"/>
              <w:bidi w:val="0"/>
              <w:spacing w:before="0" w:after="283"/>
              <w:ind w:left="0" w:right="0" w:hanging="0"/>
              <w:jc w:val="left"/>
              <w:rPr>
                <w:sz w:val="4"/>
                <w:szCs w:val="4"/>
              </w:rPr>
            </w:pPr>
            <w:r>
              <w:rPr>
                <w:sz w:val="4"/>
                <w:szCs w:val="4"/>
              </w:rPr>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10.22.3&amp;</w:t>
            </w:r>
          </w:p>
        </w:tc>
        <w:tc>
          <w:tcPr>
            <w:tcW w:w="346" w:type="dxa"/>
            <w:gridSpan w:val="2"/>
            <w:tcBorders/>
            <w:vAlign w:val="center"/>
          </w:tcPr>
          <w:p>
            <w:pPr>
              <w:pStyle w:val="TableContents"/>
              <w:bidi w:val="0"/>
              <w:spacing w:before="0" w:after="0"/>
              <w:ind w:left="0" w:right="0" w:hanging="0"/>
              <w:jc w:val="left"/>
              <w:rPr/>
            </w:pPr>
            <w:r>
              <w:rPr/>
              <w:t>​</w:t>
            </w:r>
          </w:p>
        </w:tc>
        <w:tc>
          <w:tcPr>
            <w:tcW w:w="3534" w:type="dxa"/>
            <w:tcBorders/>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Third Amendment to Credit Agreement and Guaranty dated February 12, 2024, to the Credit Agreement and Guaranty, dated April 19, 2022, by and among the Company, as the borrower, certain subsidiaries of the Company from time to time party thereto as subsidiary guarantors, the lenders party thereto, and Oaktree Fund Administration LLC, as administrative agent (as amended)</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72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2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4"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10.22.4</w:t>
            </w:r>
          </w:p>
        </w:tc>
        <w:tc>
          <w:tcPr>
            <w:tcW w:w="346" w:type="dxa"/>
            <w:gridSpan w:val="2"/>
            <w:tcBorders/>
            <w:vAlign w:val="center"/>
          </w:tcPr>
          <w:p>
            <w:pPr>
              <w:pStyle w:val="TableContents"/>
              <w:bidi w:val="0"/>
              <w:spacing w:before="0" w:after="0"/>
              <w:ind w:left="0" w:right="0" w:hanging="0"/>
              <w:jc w:val="left"/>
              <w:rPr/>
            </w:pPr>
            <w:r>
              <w:rPr/>
              <w:t>​</w:t>
            </w:r>
          </w:p>
        </w:tc>
        <w:tc>
          <w:tcPr>
            <w:tcW w:w="3534" w:type="dxa"/>
            <w:tcBorders/>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Fourth Amendment to Credit Agreement and Guaranty, dated March 20, 2024, to the Credit Agreement and Guaranty, dated April 19, 2022, by and among the Company, as the borrower, certain subsidiaries of the Company from time to time party thereto as subsidiary guarantors, the lenders party thereto, and Oaktree Fund Administration LLC, as administrative agent (as amended)</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69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72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10.22.4</w:t>
            </w:r>
          </w:p>
        </w:tc>
        <w:tc>
          <w:tcPr>
            <w:tcW w:w="346" w:type="dxa"/>
            <w:tcBorders/>
            <w:vAlign w:val="center"/>
          </w:tcPr>
          <w:p>
            <w:pPr>
              <w:pStyle w:val="TableContents"/>
              <w:bidi w:val="0"/>
              <w:spacing w:before="0" w:after="0"/>
              <w:ind w:left="0" w:right="0" w:hanging="0"/>
              <w:jc w:val="center"/>
              <w:rPr/>
            </w:pPr>
            <w:r>
              <w:rPr/>
              <w:t>​</w:t>
            </w:r>
          </w:p>
        </w:tc>
        <w:tc>
          <w:tcPr>
            <w:tcW w:w="92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03/22/2024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4"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10.22.5+&amp;</w:t>
            </w:r>
          </w:p>
        </w:tc>
        <w:tc>
          <w:tcPr>
            <w:tcW w:w="346" w:type="dxa"/>
            <w:gridSpan w:val="2"/>
            <w:tcBorders/>
            <w:vAlign w:val="center"/>
          </w:tcPr>
          <w:p>
            <w:pPr>
              <w:pStyle w:val="TableContents"/>
              <w:bidi w:val="0"/>
              <w:spacing w:before="0" w:after="0"/>
              <w:ind w:left="0" w:right="0" w:hanging="0"/>
              <w:jc w:val="left"/>
              <w:rPr/>
            </w:pPr>
            <w:r>
              <w:rPr/>
              <w:t>​</w:t>
            </w:r>
          </w:p>
        </w:tc>
        <w:tc>
          <w:tcPr>
            <w:tcW w:w="3534" w:type="dxa"/>
            <w:tcBorders/>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Fifth Amendment to Credit Agreement and Guaranty, dated November 21, 2024, to the Credit Agreement and Guaranty, dated April 19, 2022, by and among the Company, as the borrower, certain subsidiaries of the Company from time to time party thereto as subsidiary guarantors, the lenders party thereto, and Oaktree Fund Administration LLC, as administrative agent (as amended)</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69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72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2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4"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5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10.22.6</w:t>
            </w:r>
          </w:p>
        </w:tc>
        <w:tc>
          <w:tcPr>
            <w:tcW w:w="346" w:type="dxa"/>
            <w:gridSpan w:val="2"/>
            <w:tcBorders/>
            <w:vAlign w:val="center"/>
          </w:tcPr>
          <w:p>
            <w:pPr>
              <w:pStyle w:val="TableContents"/>
              <w:bidi w:val="0"/>
              <w:spacing w:before="0" w:after="0"/>
              <w:ind w:left="0" w:right="0" w:hanging="0"/>
              <w:jc w:val="left"/>
              <w:rPr/>
            </w:pPr>
            <w:r>
              <w:rPr/>
              <w:t>​</w:t>
            </w:r>
          </w:p>
        </w:tc>
        <w:tc>
          <w:tcPr>
            <w:tcW w:w="3534" w:type="dxa"/>
            <w:tcBorders/>
            <w:vAlign w:val="center"/>
          </w:tcPr>
          <w:p>
            <w:pPr>
              <w:pStyle w:val="TableContents"/>
              <w:bidi w:val="0"/>
              <w:spacing w:before="0" w:after="0"/>
              <w:ind w:left="0" w:right="0" w:hanging="0"/>
              <w:jc w:val="left"/>
              <w:rPr/>
            </w:pPr>
            <w:hyperlink w:anchor="btai-20251231xex10d226.htm">
              <w:r>
                <w:rPr>
                  <w:rStyle w:val="InternetLink"/>
                  <w:rFonts w:ascii="Times New Roman;Times;serif" w:hAnsi="Times New Roman;Times;serif"/>
                  <w:b w:val="false"/>
                  <w:i w:val="false"/>
                  <w:caps w:val="false"/>
                  <w:smallCaps w:val="false"/>
                  <w:sz w:val="20"/>
                </w:rPr>
                <w:t>Sixth Amendment to Credit Agreement and Guaranty, dated March 4, 2025, to the Credit Agreement and Guaranty, dated April 19, 2022, by and among the Company, as the borrower, certain subsidiaries of the Company from time to time party thereto as subsidiary guarantors, the lenders party thereto, and Oaktree Fund Administration LLC, as administrative agent (as amended)</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5"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65"/>
        <w:gridCol w:w="237"/>
        <w:gridCol w:w="243"/>
        <w:gridCol w:w="103"/>
        <w:gridCol w:w="3532"/>
        <w:gridCol w:w="346"/>
        <w:gridCol w:w="75"/>
        <w:gridCol w:w="359"/>
        <w:gridCol w:w="77"/>
        <w:gridCol w:w="346"/>
        <w:gridCol w:w="107"/>
        <w:gridCol w:w="513"/>
        <w:gridCol w:w="109"/>
        <w:gridCol w:w="346"/>
        <w:gridCol w:w="93"/>
        <w:gridCol w:w="443"/>
        <w:gridCol w:w="95"/>
        <w:gridCol w:w="346"/>
        <w:gridCol w:w="138"/>
        <w:gridCol w:w="661"/>
        <w:gridCol w:w="140"/>
        <w:gridCol w:w="346"/>
        <w:gridCol w:w="122"/>
        <w:gridCol w:w="580"/>
        <w:gridCol w:w="124"/>
        <w:gridCol w:w="159"/>
      </w:tblGrid>
      <w:tr>
        <w:trPr/>
        <w:tc>
          <w:tcPr>
            <w:tcW w:w="56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79070" cy="29210"/>
                      <wp:effectExtent l="0" t="0" r="0" b="0"/>
                      <wp:wrapNone/>
                      <wp:docPr id="222" name="Frame218"/>
                      <a:graphic xmlns:a="http://schemas.openxmlformats.org/drawingml/2006/main">
                        <a:graphicData uri="http://schemas.microsoft.com/office/word/2010/wordprocessingShape">
                          <wps:wsp>
                            <wps:cNvSpPr txBox="1"/>
                            <wps:spPr>
                              <a:xfrm>
                                <a:off x="0" y="0"/>
                                <a:ext cx="1790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80"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52400" cy="29210"/>
                      <wp:effectExtent l="0" t="0" r="0" b="0"/>
                      <wp:wrapNone/>
                      <wp:docPr id="223" name="Frame219"/>
                      <a:graphic xmlns:a="http://schemas.openxmlformats.org/drawingml/2006/main">
                        <a:graphicData uri="http://schemas.microsoft.com/office/word/2010/wordprocessingShape">
                          <wps:wsp>
                            <wps:cNvSpPr txBox="1"/>
                            <wps:spPr>
                              <a:xfrm>
                                <a:off x="0" y="0"/>
                                <a:ext cx="1524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56"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87780" cy="29210"/>
                      <wp:effectExtent l="0" t="0" r="0" b="0"/>
                      <wp:wrapNone/>
                      <wp:docPr id="224" name="Frame220"/>
                      <a:graphic xmlns:a="http://schemas.openxmlformats.org/drawingml/2006/main">
                        <a:graphicData uri="http://schemas.microsoft.com/office/word/2010/wordprocessingShape">
                          <wps:wsp>
                            <wps:cNvSpPr txBox="1"/>
                            <wps:spPr>
                              <a:xfrm>
                                <a:off x="0" y="0"/>
                                <a:ext cx="12877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5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13665" cy="29210"/>
                      <wp:effectExtent l="0" t="0" r="0" b="0"/>
                      <wp:wrapNone/>
                      <wp:docPr id="225" name="Frame221"/>
                      <a:graphic xmlns:a="http://schemas.openxmlformats.org/drawingml/2006/main">
                        <a:graphicData uri="http://schemas.microsoft.com/office/word/2010/wordprocessingShape">
                          <wps:wsp>
                            <wps:cNvSpPr txBox="1"/>
                            <wps:spPr>
                              <a:xfrm>
                                <a:off x="0" y="0"/>
                                <a:ext cx="1136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0"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8275" cy="29210"/>
                      <wp:effectExtent l="0" t="0" r="0" b="0"/>
                      <wp:wrapNone/>
                      <wp:docPr id="226" name="Frame222"/>
                      <a:graphic xmlns:a="http://schemas.openxmlformats.org/drawingml/2006/main">
                        <a:graphicData uri="http://schemas.microsoft.com/office/word/2010/wordprocessingShape">
                          <wps:wsp>
                            <wps:cNvSpPr txBox="1"/>
                            <wps:spPr>
                              <a:xfrm>
                                <a:off x="0" y="0"/>
                                <a:ext cx="1682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2560" cy="29210"/>
                      <wp:effectExtent l="0" t="0" r="0" b="0"/>
                      <wp:wrapNone/>
                      <wp:docPr id="227" name="Frame223"/>
                      <a:graphic xmlns:a="http://schemas.openxmlformats.org/drawingml/2006/main">
                        <a:graphicData uri="http://schemas.microsoft.com/office/word/2010/wordprocessingShape">
                          <wps:wsp>
                            <wps:cNvSpPr txBox="1"/>
                            <wps:spPr>
                              <a:xfrm>
                                <a:off x="0" y="0"/>
                                <a:ext cx="162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8"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3990" cy="29210"/>
                      <wp:effectExtent l="0" t="0" r="0" b="0"/>
                      <wp:wrapNone/>
                      <wp:docPr id="228" name="Frame224"/>
                      <a:graphic xmlns:a="http://schemas.openxmlformats.org/drawingml/2006/main">
                        <a:graphicData uri="http://schemas.microsoft.com/office/word/2010/wordprocessingShape">
                          <wps:wsp>
                            <wps:cNvSpPr txBox="1"/>
                            <wps:spPr>
                              <a:xfrm>
                                <a:off x="0" y="0"/>
                                <a:ext cx="1739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0335" cy="29210"/>
                      <wp:effectExtent l="0" t="0" r="0" b="0"/>
                      <wp:wrapNone/>
                      <wp:docPr id="229" name="Frame225"/>
                      <a:graphic xmlns:a="http://schemas.openxmlformats.org/drawingml/2006/main">
                        <a:graphicData uri="http://schemas.microsoft.com/office/word/2010/wordprocessingShape">
                          <wps:wsp>
                            <wps:cNvSpPr txBox="1"/>
                            <wps:spPr>
                              <a:xfrm>
                                <a:off x="0" y="0"/>
                                <a:ext cx="140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9"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83515" cy="29210"/>
                      <wp:effectExtent l="0" t="0" r="0" b="0"/>
                      <wp:wrapNone/>
                      <wp:docPr id="230" name="Frame226"/>
                      <a:graphic xmlns:a="http://schemas.openxmlformats.org/drawingml/2006/main">
                        <a:graphicData uri="http://schemas.microsoft.com/office/word/2010/wordprocessingShape">
                          <wps:wsp>
                            <wps:cNvSpPr txBox="1"/>
                            <wps:spPr>
                              <a:xfrm>
                                <a:off x="0" y="0"/>
                                <a:ext cx="183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9550" cy="29210"/>
                      <wp:effectExtent l="0" t="0" r="0" b="0"/>
                      <wp:wrapNone/>
                      <wp:docPr id="231" name="Frame227"/>
                      <a:graphic xmlns:a="http://schemas.openxmlformats.org/drawingml/2006/main">
                        <a:graphicData uri="http://schemas.microsoft.com/office/word/2010/wordprocessingShape">
                          <wps:wsp>
                            <wps:cNvSpPr txBox="1"/>
                            <wps:spPr>
                              <a:xfrm>
                                <a:off x="0" y="0"/>
                                <a:ext cx="2095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8"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93040" cy="29210"/>
                      <wp:effectExtent l="0" t="0" r="0" b="0"/>
                      <wp:wrapNone/>
                      <wp:docPr id="232" name="Frame228"/>
                      <a:graphic xmlns:a="http://schemas.openxmlformats.org/drawingml/2006/main">
                        <a:graphicData uri="http://schemas.microsoft.com/office/word/2010/wordprocessingShape">
                          <wps:wsp>
                            <wps:cNvSpPr txBox="1"/>
                            <wps:spPr>
                              <a:xfrm>
                                <a:off x="0" y="0"/>
                                <a:ext cx="1930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84150" cy="29210"/>
                      <wp:effectExtent l="0" t="0" r="0" b="0"/>
                      <wp:wrapNone/>
                      <wp:docPr id="233" name="Frame229"/>
                      <a:graphic xmlns:a="http://schemas.openxmlformats.org/drawingml/2006/main">
                        <a:graphicData uri="http://schemas.microsoft.com/office/word/2010/wordprocessingShape">
                          <wps:wsp>
                            <wps:cNvSpPr txBox="1"/>
                            <wps:spPr>
                              <a:xfrm>
                                <a:off x="0" y="0"/>
                                <a:ext cx="184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3"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89535" cy="29210"/>
                      <wp:effectExtent l="0" t="0" r="0" b="0"/>
                      <wp:wrapNone/>
                      <wp:docPr id="234" name="Frame230"/>
                      <a:graphic xmlns:a="http://schemas.openxmlformats.org/drawingml/2006/main">
                        <a:graphicData uri="http://schemas.microsoft.com/office/word/2010/wordprocessingShape">
                          <wps:wsp>
                            <wps:cNvSpPr txBox="1"/>
                            <wps:spPr>
                              <a:xfrm>
                                <a:off x="0" y="0"/>
                                <a:ext cx="8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02"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gridSpan w:val="2"/>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53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29"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939"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2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c>
          <w:tcPr>
            <w:tcW w:w="1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10.22.7</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w:anchor="btai-20251231xex10d227.htm">
              <w:r>
                <w:rPr>
                  <w:rStyle w:val="InternetLink"/>
                  <w:rFonts w:ascii="Times New Roman;Times;serif" w:hAnsi="Times New Roman;Times;serif"/>
                  <w:b w:val="false"/>
                  <w:i w:val="false"/>
                  <w:caps w:val="false"/>
                  <w:smallCaps w:val="false"/>
                  <w:sz w:val="20"/>
                </w:rPr>
                <w:t>Form of Seventh Amendment to Credit Agreement, dated March 12, 2025, to the Credit Agreement and Guaranty, dated April 19, 2022</w:t>
              </w:r>
            </w:hyperlink>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10.22.8</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w:anchor="btai-20251231xex10d228.htm">
              <w:r>
                <w:rPr>
                  <w:rStyle w:val="InternetLink"/>
                  <w:rFonts w:ascii="Times New Roman;Times;serif" w:hAnsi="Times New Roman;Times;serif"/>
                  <w:b w:val="false"/>
                  <w:i w:val="false"/>
                  <w:caps w:val="false"/>
                  <w:smallCaps w:val="false"/>
                  <w:sz w:val="20"/>
                </w:rPr>
                <w:t>Form of Eighth Amendment to Credit Agreement, dated April 22, 2025, to the Credit Agreement and Guaranty, dated April 19, 2022</w:t>
              </w:r>
            </w:hyperlink>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10.22.9</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w:anchor="btai-20251231xex10d229.htm">
              <w:r>
                <w:rPr>
                  <w:rStyle w:val="InternetLink"/>
                  <w:rFonts w:ascii="Times New Roman;Times;serif" w:hAnsi="Times New Roman;Times;serif"/>
                  <w:b w:val="false"/>
                  <w:i w:val="false"/>
                  <w:caps w:val="false"/>
                  <w:smallCaps w:val="false"/>
                  <w:sz w:val="20"/>
                </w:rPr>
                <w:t>Ninth Amendment to Credit Agreement, dated March 27, 2026, to the Credit Agreement and Guaranty, dated April 19, 2022</w:t>
              </w:r>
            </w:hyperlink>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10.23+&amp;</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Commercial Supply Agreement, between ARx, LLC and BioXcel Therapeutics, Inc., dated April 1, 2022</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08/11/2022</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10.23.1+&amp;</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Amendment No. 1 to Commercial Supply Agreement, between Arx, LLC and BioXcel Therapeutics, Inc. dated July 11, 2024</w:t>
              </w:r>
            </w:hyperlink>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08/06/2024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10.24@</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59">
              <w:r>
                <w:rPr>
                  <w:rStyle w:val="InternetLink"/>
                  <w:rFonts w:ascii="Times New Roman;Times;serif" w:hAnsi="Times New Roman;Times;serif"/>
                  <w:b w:val="false"/>
                  <w:i w:val="false"/>
                  <w:caps w:val="false"/>
                  <w:smallCaps w:val="false"/>
                  <w:sz w:val="20"/>
                </w:rPr>
                <w:t>OnkosXcel Therapeutics, LLC and OnkosXcel Employee Holdings, LLC Management Incentive Plan</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08/19/2022</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60">
              <w:r>
                <w:rPr>
                  <w:rStyle w:val="InternetLink"/>
                  <w:rFonts w:ascii="Times New Roman;Times;serif" w:hAnsi="Times New Roman;Times;serif"/>
                  <w:b w:val="false"/>
                  <w:i w:val="false"/>
                  <w:caps w:val="false"/>
                  <w:smallCaps w:val="false"/>
                  <w:sz w:val="20"/>
                </w:rPr>
                <w:t>Form of Profits Interest Award Agreement under the Management Incentive Plan</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08/19/2022</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10.26@</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61">
              <w:r>
                <w:rPr>
                  <w:rStyle w:val="InternetLink"/>
                  <w:rFonts w:ascii="Times New Roman;Times;serif" w:hAnsi="Times New Roman;Times;serif"/>
                  <w:b w:val="false"/>
                  <w:i w:val="false"/>
                  <w:caps w:val="false"/>
                  <w:smallCaps w:val="false"/>
                  <w:sz w:val="20"/>
                </w:rPr>
                <w:t>Form of RSU Agreement pursuant to the OnkosXcel Therapeutics, LLC and OnkosXcel Employee Holdings, LLC Management Incentive Plan.</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05/08/2023</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10.27+</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62">
              <w:r>
                <w:rPr>
                  <w:rStyle w:val="InternetLink"/>
                  <w:rFonts w:ascii="Times New Roman;Times;serif" w:hAnsi="Times New Roman;Times;serif"/>
                  <w:b w:val="false"/>
                  <w:i w:val="false"/>
                  <w:caps w:val="false"/>
                  <w:smallCaps w:val="false"/>
                  <w:sz w:val="20"/>
                </w:rPr>
                <w:t>Non-Compete Agreement, by and among the Company, Dr. Krishnan Nandabalan, InveniAI LLC, Invea Therapeutics, Inc. and the other parties thereto, dated September 19, 2023.</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09/25/2023</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10.28</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63">
              <w:r>
                <w:rPr>
                  <w:rStyle w:val="InternetLink"/>
                  <w:rFonts w:ascii="Times New Roman;Times;serif" w:hAnsi="Times New Roman;Times;serif"/>
                  <w:b w:val="false"/>
                  <w:i w:val="false"/>
                  <w:caps w:val="false"/>
                  <w:smallCaps w:val="false"/>
                  <w:sz w:val="20"/>
                </w:rPr>
                <w:t>Form of Accompanying Warrant</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03/11/2026</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10.29</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64">
              <w:r>
                <w:rPr>
                  <w:rStyle w:val="InternetLink"/>
                  <w:rFonts w:ascii="Times New Roman;Times;serif" w:hAnsi="Times New Roman;Times;serif"/>
                  <w:b w:val="false"/>
                  <w:i w:val="false"/>
                  <w:caps w:val="false"/>
                  <w:smallCaps w:val="false"/>
                  <w:sz w:val="20"/>
                </w:rPr>
                <w:t>Form of Pre-Funded Warrant</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03/11/2026</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8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10.30</w:t>
            </w:r>
          </w:p>
        </w:tc>
        <w:tc>
          <w:tcPr>
            <w:tcW w:w="346" w:type="dxa"/>
            <w:gridSpan w:val="2"/>
            <w:tcBorders/>
            <w:vAlign w:val="center"/>
          </w:tcPr>
          <w:p>
            <w:pPr>
              <w:pStyle w:val="TableContents"/>
              <w:bidi w:val="0"/>
              <w:spacing w:before="0" w:after="0"/>
              <w:ind w:left="0" w:right="0" w:hanging="0"/>
              <w:jc w:val="left"/>
              <w:rPr/>
            </w:pPr>
            <w:r>
              <w:rPr/>
              <w:t>​</w:t>
            </w:r>
          </w:p>
        </w:tc>
        <w:tc>
          <w:tcPr>
            <w:tcW w:w="3532" w:type="dxa"/>
            <w:tcBorders/>
            <w:vAlign w:val="center"/>
          </w:tcPr>
          <w:p>
            <w:pPr>
              <w:pStyle w:val="TableContents"/>
              <w:bidi w:val="0"/>
              <w:spacing w:before="0" w:after="0"/>
              <w:ind w:left="0" w:right="0" w:hanging="0"/>
              <w:jc w:val="left"/>
              <w:rPr/>
            </w:pPr>
            <w:hyperlink r:id="rId65">
              <w:r>
                <w:rPr>
                  <w:rStyle w:val="InternetLink"/>
                  <w:rFonts w:ascii="Times New Roman;Times;serif" w:hAnsi="Times New Roman;Times;serif"/>
                  <w:b w:val="false"/>
                  <w:i w:val="false"/>
                  <w:caps w:val="false"/>
                  <w:smallCaps w:val="false"/>
                  <w:sz w:val="20"/>
                </w:rPr>
                <w:t>Form of Placement Agent Warrant</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center"/>
              <w:rPr/>
            </w:pPr>
            <w:r>
              <w:rPr/>
              <w:t>​</w:t>
            </w:r>
          </w:p>
        </w:tc>
        <w:tc>
          <w:tcPr>
            <w:tcW w:w="93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03/11/2026</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6"/>
        <w:gridCol w:w="221"/>
        <w:gridCol w:w="243"/>
        <w:gridCol w:w="103"/>
        <w:gridCol w:w="3620"/>
        <w:gridCol w:w="346"/>
        <w:gridCol w:w="75"/>
        <w:gridCol w:w="359"/>
        <w:gridCol w:w="77"/>
        <w:gridCol w:w="346"/>
        <w:gridCol w:w="106"/>
        <w:gridCol w:w="506"/>
        <w:gridCol w:w="107"/>
        <w:gridCol w:w="346"/>
        <w:gridCol w:w="93"/>
        <w:gridCol w:w="443"/>
        <w:gridCol w:w="95"/>
        <w:gridCol w:w="346"/>
        <w:gridCol w:w="138"/>
        <w:gridCol w:w="658"/>
        <w:gridCol w:w="140"/>
        <w:gridCol w:w="346"/>
        <w:gridCol w:w="122"/>
        <w:gridCol w:w="580"/>
        <w:gridCol w:w="124"/>
        <w:gridCol w:w="159"/>
      </w:tblGrid>
      <w:tr>
        <w:trPr/>
        <w:tc>
          <w:tcPr>
            <w:tcW w:w="5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0655" cy="29210"/>
                      <wp:effectExtent l="0" t="0" r="0" b="0"/>
                      <wp:wrapNone/>
                      <wp:docPr id="235" name="Frame231"/>
                      <a:graphic xmlns:a="http://schemas.openxmlformats.org/drawingml/2006/main">
                        <a:graphicData uri="http://schemas.microsoft.com/office/word/2010/wordprocessingShape">
                          <wps:wsp>
                            <wps:cNvSpPr txBox="1"/>
                            <wps:spPr>
                              <a:xfrm>
                                <a:off x="0" y="0"/>
                                <a:ext cx="160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64"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7320" cy="29210"/>
                      <wp:effectExtent l="0" t="0" r="0" b="0"/>
                      <wp:wrapNone/>
                      <wp:docPr id="236" name="Frame232"/>
                      <a:graphic xmlns:a="http://schemas.openxmlformats.org/drawingml/2006/main">
                        <a:graphicData uri="http://schemas.microsoft.com/office/word/2010/wordprocessingShape">
                          <wps:wsp>
                            <wps:cNvSpPr txBox="1"/>
                            <wps:spPr>
                              <a:xfrm>
                                <a:off x="0" y="0"/>
                                <a:ext cx="1473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144"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15720" cy="29210"/>
                      <wp:effectExtent l="0" t="0" r="0" b="0"/>
                      <wp:wrapNone/>
                      <wp:docPr id="237" name="Frame233"/>
                      <a:graphic xmlns:a="http://schemas.openxmlformats.org/drawingml/2006/main">
                        <a:graphicData uri="http://schemas.microsoft.com/office/word/2010/wordprocessingShape">
                          <wps:wsp>
                            <wps:cNvSpPr txBox="1"/>
                            <wps:spPr>
                              <a:xfrm>
                                <a:off x="0" y="0"/>
                                <a:ext cx="13157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5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3665" cy="29210"/>
                      <wp:effectExtent l="0" t="0" r="0" b="0"/>
                      <wp:wrapNone/>
                      <wp:docPr id="238" name="Frame234"/>
                      <a:graphic xmlns:a="http://schemas.openxmlformats.org/drawingml/2006/main">
                        <a:graphicData uri="http://schemas.microsoft.com/office/word/2010/wordprocessingShape">
                          <wps:wsp>
                            <wps:cNvSpPr txBox="1"/>
                            <wps:spPr>
                              <a:xfrm>
                                <a:off x="0" y="0"/>
                                <a:ext cx="1136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9"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7640" cy="29210"/>
                      <wp:effectExtent l="0" t="0" r="0" b="0"/>
                      <wp:wrapNone/>
                      <wp:docPr id="239" name="Frame235"/>
                      <a:graphic xmlns:a="http://schemas.openxmlformats.org/drawingml/2006/main">
                        <a:graphicData uri="http://schemas.microsoft.com/office/word/2010/wordprocessingShape">
                          <wps:wsp>
                            <wps:cNvSpPr txBox="1"/>
                            <wps:spPr>
                              <a:xfrm>
                                <a:off x="0" y="0"/>
                                <a:ext cx="1676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60655" cy="29210"/>
                      <wp:effectExtent l="0" t="0" r="0" b="0"/>
                      <wp:wrapNone/>
                      <wp:docPr id="240" name="Frame236"/>
                      <a:graphic xmlns:a="http://schemas.openxmlformats.org/drawingml/2006/main">
                        <a:graphicData uri="http://schemas.microsoft.com/office/word/2010/wordprocessingShape">
                          <wps:wsp>
                            <wps:cNvSpPr txBox="1"/>
                            <wps:spPr>
                              <a:xfrm>
                                <a:off x="0" y="0"/>
                                <a:ext cx="160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6"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73355" cy="29210"/>
                      <wp:effectExtent l="0" t="0" r="0" b="0"/>
                      <wp:wrapNone/>
                      <wp:docPr id="241" name="Frame237"/>
                      <a:graphic xmlns:a="http://schemas.openxmlformats.org/drawingml/2006/main">
                        <a:graphicData uri="http://schemas.microsoft.com/office/word/2010/wordprocessingShape">
                          <wps:wsp>
                            <wps:cNvSpPr txBox="1"/>
                            <wps:spPr>
                              <a:xfrm>
                                <a:off x="0" y="0"/>
                                <a:ext cx="1733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0335" cy="29210"/>
                      <wp:effectExtent l="0" t="0" r="0" b="0"/>
                      <wp:wrapNone/>
                      <wp:docPr id="242" name="Frame238"/>
                      <a:graphic xmlns:a="http://schemas.openxmlformats.org/drawingml/2006/main">
                        <a:graphicData uri="http://schemas.microsoft.com/office/word/2010/wordprocessingShape">
                          <wps:wsp>
                            <wps:cNvSpPr txBox="1"/>
                            <wps:spPr>
                              <a:xfrm>
                                <a:off x="0" y="0"/>
                                <a:ext cx="140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9"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83515" cy="29210"/>
                      <wp:effectExtent l="0" t="0" r="0" b="0"/>
                      <wp:wrapNone/>
                      <wp:docPr id="243" name="Frame239"/>
                      <a:graphic xmlns:a="http://schemas.openxmlformats.org/drawingml/2006/main">
                        <a:graphicData uri="http://schemas.microsoft.com/office/word/2010/wordprocessingShape">
                          <wps:wsp>
                            <wps:cNvSpPr txBox="1"/>
                            <wps:spPr>
                              <a:xfrm>
                                <a:off x="0" y="0"/>
                                <a:ext cx="183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8915" cy="29210"/>
                      <wp:effectExtent l="0" t="0" r="0" b="0"/>
                      <wp:wrapNone/>
                      <wp:docPr id="244" name="Frame240"/>
                      <a:graphic xmlns:a="http://schemas.openxmlformats.org/drawingml/2006/main">
                        <a:graphicData uri="http://schemas.microsoft.com/office/word/2010/wordprocessingShape">
                          <wps:wsp>
                            <wps:cNvSpPr txBox="1"/>
                            <wps:spPr>
                              <a:xfrm>
                                <a:off x="0" y="0"/>
                                <a:ext cx="2089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8"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93040" cy="29210"/>
                      <wp:effectExtent l="0" t="0" r="0" b="0"/>
                      <wp:wrapNone/>
                      <wp:docPr id="245" name="Frame241"/>
                      <a:graphic xmlns:a="http://schemas.openxmlformats.org/drawingml/2006/main">
                        <a:graphicData uri="http://schemas.microsoft.com/office/word/2010/wordprocessingShape">
                          <wps:wsp>
                            <wps:cNvSpPr txBox="1"/>
                            <wps:spPr>
                              <a:xfrm>
                                <a:off x="0" y="0"/>
                                <a:ext cx="1930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84150" cy="29210"/>
                      <wp:effectExtent l="0" t="0" r="0" b="0"/>
                      <wp:wrapNone/>
                      <wp:docPr id="246" name="Frame242"/>
                      <a:graphic xmlns:a="http://schemas.openxmlformats.org/drawingml/2006/main">
                        <a:graphicData uri="http://schemas.microsoft.com/office/word/2010/wordprocessingShape">
                          <wps:wsp>
                            <wps:cNvSpPr txBox="1"/>
                            <wps:spPr>
                              <a:xfrm>
                                <a:off x="0" y="0"/>
                                <a:ext cx="184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3"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89535" cy="29210"/>
                      <wp:effectExtent l="0" t="0" r="0" b="0"/>
                      <wp:wrapNone/>
                      <wp:docPr id="247" name="Frame243"/>
                      <a:graphic xmlns:a="http://schemas.openxmlformats.org/drawingml/2006/main">
                        <a:graphicData uri="http://schemas.microsoft.com/office/word/2010/wordprocessingShape">
                          <wps:wsp>
                            <wps:cNvSpPr txBox="1"/>
                            <wps:spPr>
                              <a:xfrm>
                                <a:off x="0" y="0"/>
                                <a:ext cx="8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27"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gridSpan w:val="2"/>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62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19"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93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2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c>
          <w:tcPr>
            <w:tcW w:w="15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10.31</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r:id="rId66">
              <w:r>
                <w:rPr>
                  <w:rStyle w:val="InternetLink"/>
                  <w:rFonts w:ascii="Times New Roman;Times;serif" w:hAnsi="Times New Roman;Times;serif"/>
                  <w:b w:val="false"/>
                  <w:i w:val="false"/>
                  <w:caps w:val="false"/>
                  <w:smallCaps w:val="false"/>
                  <w:sz w:val="20"/>
                </w:rPr>
                <w:t>Securities Purchase Agreement dated as of March 10, 2026, between BioXcel Therapeutics, Inc. and each purchaser identified therein.</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03/11/2026</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10.32</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r:id="rId67">
              <w:r>
                <w:rPr>
                  <w:rStyle w:val="InternetLink"/>
                  <w:rFonts w:ascii="Times New Roman;Times;serif" w:hAnsi="Times New Roman;Times;serif"/>
                  <w:b w:val="false"/>
                  <w:i w:val="false"/>
                  <w:caps w:val="false"/>
                  <w:smallCaps w:val="false"/>
                  <w:sz w:val="20"/>
                </w:rPr>
                <w:t>Warrant Amendment Agreement, dated as of March 10, 2026</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03/11/2026</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w:anchor="btai-20251231xex19d1.htm">
              <w:r>
                <w:rPr>
                  <w:rStyle w:val="InternetLink"/>
                  <w:rFonts w:ascii="Times New Roman;Times;serif" w:hAnsi="Times New Roman;Times;serif"/>
                  <w:b w:val="false"/>
                  <w:i w:val="false"/>
                  <w:caps w:val="false"/>
                  <w:smallCaps w:val="false"/>
                  <w:sz w:val="20"/>
                </w:rPr>
                <w:t>Insider Trading Policy</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w:anchor="btai-20251231xex21d1.htm">
              <w:r>
                <w:rPr>
                  <w:rStyle w:val="InternetLink"/>
                  <w:rFonts w:ascii="Times New Roman;Times;serif" w:hAnsi="Times New Roman;Times;serif"/>
                  <w:b w:val="false"/>
                  <w:i w:val="false"/>
                  <w:caps w:val="false"/>
                  <w:smallCaps w:val="false"/>
                  <w:sz w:val="20"/>
                </w:rPr>
                <w:t>Subsidiaries of BioXcel Therapeutics, Inc.</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w:anchor="btai-20251231xex23d1.htm">
              <w:r>
                <w:rPr>
                  <w:rStyle w:val="InternetLink"/>
                  <w:rFonts w:ascii="Times New Roman;Times;serif" w:hAnsi="Times New Roman;Times;serif"/>
                  <w:b w:val="false"/>
                  <w:i w:val="false"/>
                  <w:caps w:val="false"/>
                  <w:smallCaps w:val="false"/>
                  <w:sz w:val="20"/>
                </w:rPr>
                <w:t xml:space="preserve">Consent of Ernst &amp; Young LLP </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w:anchor="btai-202512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w:anchor="btai-202512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w:anchor="btai-202512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center"/>
              <w:rPr/>
            </w:pPr>
            <w:r>
              <w:rPr/>
              <w:t>​</w:t>
            </w:r>
          </w:p>
        </w:tc>
        <w:tc>
          <w:tcPr>
            <w:tcW w:w="51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w:anchor="btai-202512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Policy for Recovery of Erroneously Awarded Compensation</w:t>
              </w:r>
            </w:hyperlink>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001-38410</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03/22/2024</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eXtensible Business Reporting Language (XBRL) Instance Document – the instance document does not appear in the Interactive Data File because its XBRL tags are embedded within the Inline XBRL document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r>
      <w:tr>
        <w:trPr/>
        <w:tc>
          <w:tcPr>
            <w:tcW w:w="72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gridSpan w:val="2"/>
            <w:tcBorders/>
            <w:vAlign w:val="center"/>
          </w:tcPr>
          <w:p>
            <w:pPr>
              <w:pStyle w:val="TableContents"/>
              <w:bidi w:val="0"/>
              <w:spacing w:before="0" w:after="0"/>
              <w:ind w:left="0" w:right="0" w:hanging="0"/>
              <w:jc w:val="left"/>
              <w:rPr/>
            </w:pPr>
            <w:r>
              <w:rPr/>
              <w:t>​</w:t>
            </w:r>
          </w:p>
        </w:tc>
        <w:tc>
          <w:tcPr>
            <w:tcW w:w="3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9"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36"/>
        <w:gridCol w:w="235"/>
        <w:gridCol w:w="243"/>
        <w:gridCol w:w="103"/>
        <w:gridCol w:w="3643"/>
        <w:gridCol w:w="346"/>
        <w:gridCol w:w="75"/>
        <w:gridCol w:w="359"/>
        <w:gridCol w:w="77"/>
        <w:gridCol w:w="346"/>
        <w:gridCol w:w="100"/>
        <w:gridCol w:w="475"/>
        <w:gridCol w:w="101"/>
        <w:gridCol w:w="346"/>
        <w:gridCol w:w="93"/>
        <w:gridCol w:w="443"/>
        <w:gridCol w:w="95"/>
        <w:gridCol w:w="346"/>
        <w:gridCol w:w="135"/>
        <w:gridCol w:w="644"/>
        <w:gridCol w:w="137"/>
        <w:gridCol w:w="346"/>
        <w:gridCol w:w="122"/>
        <w:gridCol w:w="580"/>
        <w:gridCol w:w="124"/>
        <w:gridCol w:w="155"/>
      </w:tblGrid>
      <w:tr>
        <w:trPr/>
        <w:tc>
          <w:tcPr>
            <w:tcW w:w="53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70180" cy="29210"/>
                      <wp:effectExtent l="0" t="0" r="0" b="0"/>
                      <wp:wrapNone/>
                      <wp:docPr id="248" name="Frame244"/>
                      <a:graphic xmlns:a="http://schemas.openxmlformats.org/drawingml/2006/main">
                        <a:graphicData uri="http://schemas.microsoft.com/office/word/2010/wordprocessingShape">
                          <wps:wsp>
                            <wps:cNvSpPr txBox="1"/>
                            <wps:spPr>
                              <a:xfrm>
                                <a:off x="0" y="0"/>
                                <a:ext cx="1701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78"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51765" cy="29210"/>
                      <wp:effectExtent l="0" t="0" r="0" b="0"/>
                      <wp:wrapNone/>
                      <wp:docPr id="249" name="Frame245"/>
                      <a:graphic xmlns:a="http://schemas.openxmlformats.org/drawingml/2006/main">
                        <a:graphicData uri="http://schemas.microsoft.com/office/word/2010/wordprocessingShape">
                          <wps:wsp>
                            <wps:cNvSpPr txBox="1"/>
                            <wps:spPr>
                              <a:xfrm>
                                <a:off x="0" y="0"/>
                                <a:ext cx="1517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167" w:type="dxa"/>
            <w:gridSpan w:val="4"/>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22705" cy="29210"/>
                      <wp:effectExtent l="0" t="0" r="0" b="0"/>
                      <wp:wrapNone/>
                      <wp:docPr id="250" name="Frame246"/>
                      <a:graphic xmlns:a="http://schemas.openxmlformats.org/drawingml/2006/main">
                        <a:graphicData uri="http://schemas.microsoft.com/office/word/2010/wordprocessingShape">
                          <wps:wsp>
                            <wps:cNvSpPr txBox="1"/>
                            <wps:spPr>
                              <a:xfrm>
                                <a:off x="0" y="0"/>
                                <a:ext cx="13227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5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13665" cy="29210"/>
                      <wp:effectExtent l="0" t="0" r="0" b="0"/>
                      <wp:wrapNone/>
                      <wp:docPr id="251" name="Frame247"/>
                      <a:graphic xmlns:a="http://schemas.openxmlformats.org/drawingml/2006/main">
                        <a:graphicData uri="http://schemas.microsoft.com/office/word/2010/wordprocessingShape">
                          <wps:wsp>
                            <wps:cNvSpPr txBox="1"/>
                            <wps:spPr>
                              <a:xfrm>
                                <a:off x="0" y="0"/>
                                <a:ext cx="1136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3"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5735" cy="29210"/>
                      <wp:effectExtent l="0" t="0" r="0" b="0"/>
                      <wp:wrapNone/>
                      <wp:docPr id="252" name="Frame248"/>
                      <a:graphic xmlns:a="http://schemas.openxmlformats.org/drawingml/2006/main">
                        <a:graphicData uri="http://schemas.microsoft.com/office/word/2010/wordprocessingShape">
                          <wps:wsp>
                            <wps:cNvSpPr txBox="1"/>
                            <wps:spPr>
                              <a:xfrm>
                                <a:off x="0" y="0"/>
                                <a:ext cx="165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7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50495" cy="29210"/>
                      <wp:effectExtent l="0" t="0" r="0" b="0"/>
                      <wp:wrapNone/>
                      <wp:docPr id="253" name="Frame249"/>
                      <a:graphic xmlns:a="http://schemas.openxmlformats.org/drawingml/2006/main">
                        <a:graphicData uri="http://schemas.microsoft.com/office/word/2010/wordprocessingShape">
                          <wps:wsp>
                            <wps:cNvSpPr txBox="1"/>
                            <wps:spPr>
                              <a:xfrm>
                                <a:off x="0" y="0"/>
                                <a:ext cx="1504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0"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71450" cy="29210"/>
                      <wp:effectExtent l="0" t="0" r="0" b="0"/>
                      <wp:wrapNone/>
                      <wp:docPr id="254" name="Frame250"/>
                      <a:graphic xmlns:a="http://schemas.openxmlformats.org/drawingml/2006/main">
                        <a:graphicData uri="http://schemas.microsoft.com/office/word/2010/wordprocessingShape">
                          <wps:wsp>
                            <wps:cNvSpPr txBox="1"/>
                            <wps:spPr>
                              <a:xfrm>
                                <a:off x="0" y="0"/>
                                <a:ext cx="1714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0335" cy="29210"/>
                      <wp:effectExtent l="0" t="0" r="0" b="0"/>
                      <wp:wrapNone/>
                      <wp:docPr id="255" name="Frame251"/>
                      <a:graphic xmlns:a="http://schemas.openxmlformats.org/drawingml/2006/main">
                        <a:graphicData uri="http://schemas.microsoft.com/office/word/2010/wordprocessingShape">
                          <wps:wsp>
                            <wps:cNvSpPr txBox="1"/>
                            <wps:spPr>
                              <a:xfrm>
                                <a:off x="0" y="0"/>
                                <a:ext cx="140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6"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2880" cy="29210"/>
                      <wp:effectExtent l="0" t="0" r="0" b="0"/>
                      <wp:wrapNone/>
                      <wp:docPr id="256" name="Frame252"/>
                      <a:graphic xmlns:a="http://schemas.openxmlformats.org/drawingml/2006/main">
                        <a:graphicData uri="http://schemas.microsoft.com/office/word/2010/wordprocessingShape">
                          <wps:wsp>
                            <wps:cNvSpPr txBox="1"/>
                            <wps:spPr>
                              <a:xfrm>
                                <a:off x="0" y="0"/>
                                <a:ext cx="1828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4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4470" cy="29210"/>
                      <wp:effectExtent l="0" t="0" r="0" b="0"/>
                      <wp:wrapNone/>
                      <wp:docPr id="257" name="Frame253"/>
                      <a:graphic xmlns:a="http://schemas.openxmlformats.org/drawingml/2006/main">
                        <a:graphicData uri="http://schemas.microsoft.com/office/word/2010/wordprocessingShape">
                          <wps:wsp>
                            <wps:cNvSpPr txBox="1"/>
                            <wps:spPr>
                              <a:xfrm>
                                <a:off x="0" y="0"/>
                                <a:ext cx="2044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5" w:type="dxa"/>
            <w:gridSpan w:val="3"/>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91770" cy="29210"/>
                      <wp:effectExtent l="0" t="0" r="0" b="0"/>
                      <wp:wrapNone/>
                      <wp:docPr id="258" name="Frame254"/>
                      <a:graphic xmlns:a="http://schemas.openxmlformats.org/drawingml/2006/main">
                        <a:graphicData uri="http://schemas.microsoft.com/office/word/2010/wordprocessingShape">
                          <wps:wsp>
                            <wps:cNvSpPr txBox="1"/>
                            <wps:spPr>
                              <a:xfrm>
                                <a:off x="0" y="0"/>
                                <a:ext cx="1917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84150" cy="29210"/>
                      <wp:effectExtent l="0" t="0" r="0" b="0"/>
                      <wp:wrapNone/>
                      <wp:docPr id="259" name="Frame255"/>
                      <a:graphic xmlns:a="http://schemas.openxmlformats.org/drawingml/2006/main">
                        <a:graphicData uri="http://schemas.microsoft.com/office/word/2010/wordprocessingShape">
                          <wps:wsp>
                            <wps:cNvSpPr txBox="1"/>
                            <wps:spPr>
                              <a:xfrm>
                                <a:off x="0" y="0"/>
                                <a:ext cx="184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9" w:type="dxa"/>
            <w:gridSpan w:val="2"/>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88265" cy="29210"/>
                      <wp:effectExtent l="0" t="0" r="0" b="0"/>
                      <wp:wrapNone/>
                      <wp:docPr id="260" name="Frame256"/>
                      <a:graphic xmlns:a="http://schemas.openxmlformats.org/drawingml/2006/main">
                        <a:graphicData uri="http://schemas.microsoft.com/office/word/2010/wordprocessingShape">
                          <wps:wsp>
                            <wps:cNvSpPr txBox="1"/>
                            <wps:spPr>
                              <a:xfrm>
                                <a:off x="0" y="0"/>
                                <a:ext cx="882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71"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gridSpan w:val="2"/>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364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7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91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26"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Furnished</w:t>
              <w:br/>
              <w:t>Herewith</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771" w:type="dxa"/>
            <w:gridSpan w:val="2"/>
            <w:tcBorders/>
            <w:vAlign w:val="center"/>
          </w:tcPr>
          <w:p>
            <w:pPr>
              <w:pStyle w:val="TableContents"/>
              <w:bidi w:val="0"/>
              <w:spacing w:before="0" w:after="0"/>
              <w:ind w:left="0" w:right="0" w:hanging="0"/>
              <w:jc w:val="center"/>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36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3"/>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Indicates a management contract or any compensatory plan, contract or arrangement.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Portions of this exhibit have been omitted pursuant to Item 601(b)(10)(iv) of Regulation S-K.</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Confidential treatment has been granted for portions omitted from this exhibit and those portions have been separately filed with the Securities and Exchange Commission.</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&amp; Annexes, schedules, and certain exhibits have been omitted pursuant to Item 601(a)(5) of Regulation S-K. The Registrant hereby agrees to furnish supplementally a copy of any omitted annex, schedule or exhibit to the SEC upon request.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Furnished herewith.</w:t>
      </w:r>
    </w:p>
    <w:p>
      <w:pPr>
        <w:pStyle w:val="TextBody"/>
        <w:pBdr/>
        <w:bidi w:val="0"/>
        <w:spacing w:before="0" w:after="0"/>
        <w:ind w:left="0" w:right="0" w:hanging="360"/>
        <w:jc w:val="left"/>
        <w:rPr/>
      </w:pPr>
      <w:r>
        <w:rPr/>
        <w:t>​</w:t>
      </w:r>
    </w:p>
    <w:p>
      <w:pPr>
        <w:pStyle w:val="TextBody"/>
        <w:bidi w:val="0"/>
        <w:spacing w:before="0" w:after="200"/>
        <w:ind w:left="0" w:right="0" w:hanging="0"/>
        <w:jc w:val="left"/>
        <w:rPr>
          <w:rFonts w:ascii="Times New Roman;Times;serif" w:hAnsi="Times New Roman;Times;serif"/>
          <w:b/>
          <w:sz w:val="20"/>
        </w:rPr>
      </w:pPr>
      <w:bookmarkStart w:id="102" w:name="Item16Form10KSummary_689937"/>
      <w:bookmarkEnd w:id="102"/>
      <w:r>
        <w:rPr>
          <w:rFonts w:ascii="Times New Roman;Times;serif" w:hAnsi="Times New Roman;Times;serif"/>
          <w:b/>
          <w:sz w:val="20"/>
        </w:rPr>
        <w:t>Item 16. Form 10-K Summary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03" w:name="_5d3b960c_f4a0_484b_951b_e2582de1744e"/>
      <w:bookmarkEnd w:id="103"/>
      <w:r>
        <w:rPr/>
        <w:t>​</w:t>
      </w:r>
    </w:p>
    <w:p>
      <w:pPr>
        <w:pStyle w:val="TextBody"/>
        <w:bidi w:val="0"/>
        <w:spacing w:before="0" w:after="240"/>
        <w:ind w:left="0" w:right="0" w:hanging="0"/>
        <w:jc w:val="center"/>
        <w:rPr>
          <w:rFonts w:ascii="Times New Roman;Times;serif" w:hAnsi="Times New Roman;Times;serif"/>
          <w:b/>
          <w:sz w:val="20"/>
        </w:rPr>
      </w:pPr>
      <w:bookmarkStart w:id="104" w:name="SIGNATURES_328256"/>
      <w:bookmarkEnd w:id="104"/>
      <w:r>
        <w:rPr>
          <w:rFonts w:ascii="Times New Roman;Times;serif" w:hAnsi="Times New Roman;Times;serif"/>
          <w:b/>
          <w:sz w:val="20"/>
        </w:rPr>
        <w:t>SIGNATURES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3962" w:type="dxa"/>
        <w:jc w:val="left"/>
        <w:tblInd w:w="0" w:type="dxa"/>
        <w:tblLayout w:type="fixed"/>
        <w:tblCellMar>
          <w:top w:w="0" w:type="dxa"/>
          <w:left w:w="0" w:type="dxa"/>
          <w:bottom w:w="0" w:type="dxa"/>
          <w:right w:w="0" w:type="dxa"/>
        </w:tblCellMar>
      </w:tblPr>
      <w:tblGrid>
        <w:gridCol w:w="1771"/>
        <w:gridCol w:w="219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124585" cy="175260"/>
                      <wp:effectExtent l="0" t="0" r="0" b="0"/>
                      <wp:wrapNone/>
                      <wp:docPr id="261" name="Frame257"/>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91285" cy="29210"/>
                      <wp:effectExtent l="0" t="0" r="0" b="0"/>
                      <wp:wrapNone/>
                      <wp:docPr id="262" name="Frame258"/>
                      <a:graphic xmlns:a="http://schemas.openxmlformats.org/drawingml/2006/main">
                        <a:graphicData uri="http://schemas.microsoft.com/office/word/2010/wordprocessingShape">
                          <wps:wsp>
                            <wps:cNvSpPr txBox="1"/>
                            <wps:spPr>
                              <a:xfrm>
                                <a:off x="0" y="0"/>
                                <a:ext cx="139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71" w:type="dxa"/>
            <w:tcBorders/>
            <w:vAlign w:val="center"/>
          </w:tcPr>
          <w:p>
            <w:pPr>
              <w:pStyle w:val="TableContents"/>
              <w:pBdr/>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BioXcel Therapeutics, Inc.</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Dated: March 27, 2026</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Vimal Mehta</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Vimal Mehta, Ph.D.</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Executive Officer</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(Principal Executive Officer)</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Dated: March 27, 2026</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Richard Steinhart</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Richard Steinhart</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Financial Officer</w:t>
            </w:r>
          </w:p>
        </w:tc>
      </w:tr>
      <w:tr>
        <w:trPr/>
        <w:tc>
          <w:tcPr>
            <w:tcW w:w="1771"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w:hAnsi="Times"/>
          <w:sz w:val="18"/>
        </w:rPr>
      </w:pPr>
      <w:r>
        <w:rPr>
          <w:rFonts w:ascii="Times" w:hAnsi="Times"/>
          <w:sz w:val="18"/>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pPr>
      <w:r>
        <w:rPr/>
        <w:t>​</w:t>
      </w:r>
    </w:p>
    <w:tbl>
      <w:tblPr>
        <w:tblW w:w="9610" w:type="dxa"/>
        <w:jc w:val="left"/>
        <w:tblInd w:w="0" w:type="dxa"/>
        <w:tblLayout w:type="fixed"/>
        <w:tblCellMar>
          <w:top w:w="0" w:type="dxa"/>
          <w:left w:w="0" w:type="dxa"/>
          <w:bottom w:w="0" w:type="dxa"/>
          <w:right w:w="0" w:type="dxa"/>
        </w:tblCellMar>
      </w:tblPr>
      <w:tblGrid>
        <w:gridCol w:w="1801"/>
        <w:gridCol w:w="146"/>
        <w:gridCol w:w="6226"/>
        <w:gridCol w:w="146"/>
        <w:gridCol w:w="1291"/>
      </w:tblGrid>
      <w:tr>
        <w:trPr/>
        <w:tc>
          <w:tcPr>
            <w:tcW w:w="1801" w:type="dxa"/>
            <w:tcBorders/>
            <w:vAlign w:val="center"/>
          </w:tcPr>
          <w:p>
            <w:pPr>
              <w:pStyle w:val="TableHeading"/>
              <w:bidi w:val="0"/>
              <w:spacing w:before="0" w:after="283"/>
              <w:ind w:left="0" w:right="0" w:hanging="0"/>
              <w:rPr>
                <w:sz w:val="4"/>
                <w:szCs w:val="4"/>
              </w:rPr>
            </w:pPr>
            <w:r>
              <w:rPr>
                <w:sz w:val="4"/>
                <w:szCs w:val="4"/>
              </w:rPr>
            </w:r>
          </w:p>
        </w:tc>
        <w:tc>
          <w:tcPr>
            <w:tcW w:w="146" w:type="dxa"/>
            <w:tcBorders/>
            <w:vAlign w:val="center"/>
          </w:tcPr>
          <w:p>
            <w:pPr>
              <w:pStyle w:val="TableHeading"/>
              <w:bidi w:val="0"/>
              <w:spacing w:before="0" w:after="283"/>
              <w:ind w:left="0" w:right="0" w:hanging="0"/>
              <w:rPr>
                <w:sz w:val="4"/>
                <w:szCs w:val="4"/>
              </w:rPr>
            </w:pPr>
            <w:r>
              <w:rPr>
                <w:sz w:val="4"/>
                <w:szCs w:val="4"/>
              </w:rPr>
            </w:r>
          </w:p>
        </w:tc>
        <w:tc>
          <w:tcPr>
            <w:tcW w:w="6226" w:type="dxa"/>
            <w:tcBorders/>
            <w:vAlign w:val="center"/>
          </w:tcPr>
          <w:p>
            <w:pPr>
              <w:pStyle w:val="TableHeading"/>
              <w:bidi w:val="0"/>
              <w:spacing w:before="0" w:after="283"/>
              <w:ind w:left="0" w:right="0" w:hanging="0"/>
              <w:rPr>
                <w:sz w:val="4"/>
                <w:szCs w:val="4"/>
              </w:rPr>
            </w:pPr>
            <w:r>
              <w:rPr>
                <w:sz w:val="4"/>
                <w:szCs w:val="4"/>
              </w:rPr>
            </w:r>
          </w:p>
        </w:tc>
        <w:tc>
          <w:tcPr>
            <w:tcW w:w="146" w:type="dxa"/>
            <w:tcBorders/>
            <w:vAlign w:val="center"/>
          </w:tcPr>
          <w:p>
            <w:pPr>
              <w:pStyle w:val="TableHeading"/>
              <w:bidi w:val="0"/>
              <w:spacing w:before="0" w:after="283"/>
              <w:ind w:left="0" w:right="0" w:hanging="0"/>
              <w:rPr>
                <w:sz w:val="4"/>
                <w:szCs w:val="4"/>
              </w:rPr>
            </w:pPr>
            <w:r>
              <w:rPr>
                <w:sz w:val="4"/>
                <w:szCs w:val="4"/>
              </w:rPr>
            </w:r>
          </w:p>
        </w:tc>
        <w:tc>
          <w:tcPr>
            <w:tcW w:w="1291" w:type="dxa"/>
            <w:tcBorders/>
            <w:vAlign w:val="center"/>
          </w:tcPr>
          <w:p>
            <w:pPr>
              <w:pStyle w:val="TableHeading"/>
              <w:bidi w:val="0"/>
              <w:spacing w:before="0" w:after="283"/>
              <w:ind w:left="0" w:right="0" w:hanging="0"/>
              <w:rPr>
                <w:sz w:val="4"/>
                <w:szCs w:val="4"/>
              </w:rPr>
            </w:pPr>
            <w:r>
              <w:rPr>
                <w:sz w:val="4"/>
                <w:szCs w:val="4"/>
              </w:rPr>
            </w:r>
          </w:p>
        </w:tc>
      </w:tr>
      <w:tr>
        <w:trPr/>
        <w:tc>
          <w:tcPr>
            <w:tcW w:w="1801" w:type="dxa"/>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Signature</w:t>
            </w:r>
          </w:p>
        </w:tc>
        <w:tc>
          <w:tcPr>
            <w:tcW w:w="146" w:type="dxa"/>
            <w:tcBorders/>
            <w:vAlign w:val="center"/>
          </w:tcPr>
          <w:p>
            <w:pPr>
              <w:pStyle w:val="TableHeading"/>
              <w:bidi w:val="0"/>
              <w:spacing w:before="0" w:after="283"/>
              <w:ind w:left="0" w:right="0" w:hanging="0"/>
              <w:rPr>
                <w:sz w:val="4"/>
                <w:szCs w:val="4"/>
              </w:rPr>
            </w:pPr>
            <w:r>
              <w:rPr>
                <w:sz w:val="4"/>
                <w:szCs w:val="4"/>
              </w:rPr>
            </w:r>
          </w:p>
        </w:tc>
        <w:tc>
          <w:tcPr>
            <w:tcW w:w="6226" w:type="dxa"/>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w:t>
            </w:r>
          </w:p>
        </w:tc>
        <w:tc>
          <w:tcPr>
            <w:tcW w:w="146" w:type="dxa"/>
            <w:tcBorders/>
            <w:vAlign w:val="center"/>
          </w:tcPr>
          <w:p>
            <w:pPr>
              <w:pStyle w:val="TableHeading"/>
              <w:bidi w:val="0"/>
              <w:spacing w:before="0" w:after="283"/>
              <w:ind w:left="0" w:right="0" w:hanging="0"/>
              <w:rPr>
                <w:sz w:val="4"/>
                <w:szCs w:val="4"/>
              </w:rPr>
            </w:pPr>
            <w:r>
              <w:rPr>
                <w:sz w:val="4"/>
                <w:szCs w:val="4"/>
              </w:rPr>
            </w:r>
          </w:p>
        </w:tc>
        <w:tc>
          <w:tcPr>
            <w:tcW w:w="1291" w:type="dxa"/>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62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Vimal Mehta</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Vimal Mehta, Ph.D.</w:t>
            </w:r>
          </w:p>
        </w:tc>
        <w:tc>
          <w:tcPr>
            <w:tcW w:w="146" w:type="dxa"/>
            <w:tcBorders/>
            <w:vAlign w:val="center"/>
          </w:tcPr>
          <w:p>
            <w:pPr>
              <w:pStyle w:val="TableContents"/>
              <w:bidi w:val="0"/>
              <w:spacing w:before="0" w:after="0"/>
              <w:ind w:left="0" w:right="0" w:hanging="0"/>
              <w:jc w:val="left"/>
              <w:rPr/>
            </w:pPr>
            <w:r>
              <w:rPr/>
              <w:t> </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Chief Executive Officer and Director </w:t>
            </w:r>
            <w:r>
              <w:rPr>
                <w:rFonts w:ascii="Times New Roman;Times;serif" w:hAnsi="Times New Roman;Times;serif"/>
                <w:i/>
                <w:sz w:val="18"/>
              </w:rPr>
              <w:t>(Principal Executive Officer)</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Richard Steinhart</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Richard Steinhart</w:t>
            </w:r>
          </w:p>
        </w:tc>
        <w:tc>
          <w:tcPr>
            <w:tcW w:w="146" w:type="dxa"/>
            <w:tcBorders/>
            <w:vAlign w:val="center"/>
          </w:tcPr>
          <w:p>
            <w:pPr>
              <w:pStyle w:val="TableContents"/>
              <w:bidi w:val="0"/>
              <w:spacing w:before="0" w:after="0"/>
              <w:ind w:left="0" w:right="0" w:hanging="0"/>
              <w:jc w:val="left"/>
              <w:rPr/>
            </w:pPr>
            <w:r>
              <w:rPr/>
              <w:t> </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Chief Financial Officer </w:t>
            </w:r>
            <w:r>
              <w:rPr>
                <w:rFonts w:ascii="Times New Roman;Times;serif" w:hAnsi="Times New Roman;Times;serif"/>
                <w:i/>
                <w:sz w:val="18"/>
              </w:rPr>
              <w:t>(Principal Financial Officer and Principal Accounting Officer)</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Peter Mueller</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Peter Mueller, Ph.D.</w:t>
            </w:r>
          </w:p>
        </w:tc>
        <w:tc>
          <w:tcPr>
            <w:tcW w:w="146" w:type="dxa"/>
            <w:tcBorders/>
            <w:vAlign w:val="center"/>
          </w:tcPr>
          <w:p>
            <w:pPr>
              <w:pStyle w:val="TableContents"/>
              <w:bidi w:val="0"/>
              <w:spacing w:before="0" w:after="0"/>
              <w:ind w:left="0" w:right="0" w:hanging="0"/>
              <w:jc w:val="left"/>
              <w:rPr/>
            </w:pPr>
            <w:r>
              <w:rPr/>
              <w:t> </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Chairman of the Board of Directors</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June Bray</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June Bray</w:t>
            </w:r>
          </w:p>
        </w:tc>
        <w:tc>
          <w:tcPr>
            <w:tcW w:w="146" w:type="dxa"/>
            <w:tcBorders/>
            <w:vAlign w:val="center"/>
          </w:tcPr>
          <w:p>
            <w:pPr>
              <w:pStyle w:val="TableContents"/>
              <w:bidi w:val="0"/>
              <w:spacing w:before="0" w:after="0"/>
              <w:ind w:left="0" w:right="0" w:hanging="0"/>
              <w:jc w:val="left"/>
              <w:rPr/>
            </w:pPr>
            <w:r>
              <w:rPr/>
              <w:t> </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Sandeep Laumas</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Sandeep Laumas, M.D.</w:t>
            </w:r>
          </w:p>
        </w:tc>
        <w:tc>
          <w:tcPr>
            <w:tcW w:w="146" w:type="dxa"/>
            <w:tcBorders/>
            <w:vAlign w:val="center"/>
          </w:tcPr>
          <w:p>
            <w:pPr>
              <w:pStyle w:val="TableContents"/>
              <w:bidi w:val="0"/>
              <w:spacing w:before="0" w:after="0"/>
              <w:ind w:left="0" w:right="0" w:hanging="0"/>
              <w:jc w:val="left"/>
              <w:rPr/>
            </w:pPr>
            <w:r>
              <w:rPr/>
              <w:t> </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Michael Miller</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Michael Miller</w:t>
            </w:r>
          </w:p>
        </w:tc>
        <w:tc>
          <w:tcPr>
            <w:tcW w:w="146" w:type="dxa"/>
            <w:tcBorders/>
            <w:vAlign w:val="center"/>
          </w:tcPr>
          <w:p>
            <w:pPr>
              <w:pStyle w:val="TableContents"/>
              <w:bidi w:val="0"/>
              <w:spacing w:before="0" w:after="0"/>
              <w:ind w:left="0" w:right="0" w:hanging="0"/>
              <w:jc w:val="left"/>
              <w:rPr/>
            </w:pPr>
            <w:r>
              <w:rPr/>
              <w:t> </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Michal Votruba</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Michal Votruba</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David Mack</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David Mack</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Rajiv Patni</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Rajiv Patni</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2026</w:t>
            </w:r>
          </w:p>
        </w:tc>
      </w:tr>
      <w:tr>
        <w:trPr/>
        <w:tc>
          <w:tcPr>
            <w:tcW w:w="18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40" w:after="94"/>
        <w:ind w:left="0" w:right="0" w:hanging="0"/>
        <w:jc w:val="center"/>
        <w:rPr>
          <w:rFonts w:ascii="Times New Roman;Times;serif" w:hAnsi="Times New Roman;Times;serif"/>
          <w:b/>
          <w:sz w:val="20"/>
        </w:rPr>
      </w:pPr>
      <w:bookmarkStart w:id="105" w:name="Audit_Report"/>
      <w:bookmarkStart w:id="106" w:name="_060ad04c_9495_47eb_9030_7cde9e685072"/>
      <w:bookmarkEnd w:id="105"/>
      <w:bookmarkEnd w:id="106"/>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Stockholders and the Board of Directors of BioXcel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BioXcel Therapeutics, Inc. (the Company) as of December 31, 2025 and 2024, the related consolidated statements of operations, changes in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U.S. generally accepted accounting principles.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Company’s Ability to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2 to the consolidated financial statements, the Company has suffered recurring losses from operations, has used significant cash in operations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44"/>
        <w:gridCol w:w="176"/>
        <w:gridCol w:w="8685"/>
      </w:tblGrid>
      <w:tr>
        <w:trPr/>
        <w:tc>
          <w:tcPr>
            <w:tcW w:w="1344" w:type="dxa"/>
            <w:tcBorders/>
            <w:vAlign w:val="center"/>
          </w:tcPr>
          <w:p>
            <w:pPr>
              <w:pStyle w:val="TableContents"/>
              <w:bidi w:val="0"/>
              <w:spacing w:before="0" w:after="200"/>
              <w:ind w:left="0" w:right="0" w:hanging="0"/>
              <w:jc w:val="left"/>
              <w:rPr>
                <w:shd w:fill="FFFF00" w:val="clear"/>
              </w:rPr>
            </w:pPr>
            <w:r>
              <w:rPr>
                <w:shd w:fill="FFFF00" w:val="clear"/>
              </w:rPr>
              <w:t>​</w:t>
            </w:r>
          </w:p>
          <w:p>
            <w:pPr>
              <w:pStyle w:val="TableContents"/>
              <w:bidi w:val="0"/>
              <w:spacing w:before="0" w:after="200"/>
              <w:ind w:left="0" w:right="0" w:hanging="0"/>
              <w:jc w:val="left"/>
              <w:rPr>
                <w:shd w:fill="FFFF00" w:val="clear"/>
              </w:rPr>
            </w:pPr>
            <w:r>
              <w:rPr>
                <w:shd w:fill="FFFF00" w:val="clear"/>
              </w:rPr>
              <w:t>​</w:t>
            </w:r>
          </w:p>
          <w:p>
            <w:pPr>
              <w:pStyle w:val="TableContents"/>
              <w:bidi w:val="0"/>
              <w:spacing w:before="0" w:after="200"/>
              <w:ind w:left="0" w:right="0" w:hanging="0"/>
              <w:jc w:val="left"/>
              <w:rPr>
                <w:shd w:fill="FFFF00" w:val="clear"/>
              </w:rPr>
            </w:pPr>
            <w:r>
              <w:rPr>
                <w:shd w:fill="FFFF00" w:val="clear"/>
              </w:rPr>
              <w:t>​</w:t>
            </w:r>
          </w:p>
          <w:p>
            <w:pPr>
              <w:pStyle w:val="TableContents"/>
              <w:bidi w:val="0"/>
              <w:spacing w:before="0" w:after="200"/>
              <w:ind w:left="0" w:right="0" w:hanging="0"/>
              <w:jc w:val="left"/>
              <w:rPr>
                <w:shd w:fill="FFFF00" w:val="clear"/>
              </w:rPr>
            </w:pPr>
            <w:r>
              <w:rPr>
                <w:shd w:fill="FFFF00" w:val="clear"/>
              </w:rPr>
              <w:t>​</w:t>
            </w:r>
          </w:p>
          <w:p>
            <w:pPr>
              <w:pStyle w:val="TableContents"/>
              <w:bidi w:val="0"/>
              <w:spacing w:before="0" w:after="200"/>
              <w:ind w:left="0" w:right="0" w:hanging="0"/>
              <w:jc w:val="left"/>
              <w:rPr>
                <w:shd w:fill="FFFF00" w:val="clear"/>
              </w:rPr>
            </w:pPr>
            <w:r>
              <w:rPr>
                <w:shd w:fill="FFFF00" w:val="clear"/>
              </w:rPr>
              <w:t>​</w:t>
            </w:r>
          </w:p>
          <w:p>
            <w:pPr>
              <w:pStyle w:val="TableContents"/>
              <w:bidi w:val="0"/>
              <w:spacing w:before="0" w:after="200"/>
              <w:ind w:left="0" w:right="0" w:hanging="0"/>
              <w:jc w:val="left"/>
              <w:rPr>
                <w:shd w:fill="FFFF00" w:val="clear"/>
              </w:rPr>
            </w:pPr>
            <w:r>
              <w:rPr>
                <w:shd w:fill="FFFF00" w:val="clear"/>
              </w:rPr>
              <w:t>​</w:t>
            </w:r>
          </w:p>
          <w:p>
            <w:pPr>
              <w:pStyle w:val="TableContents"/>
              <w:bidi w:val="0"/>
              <w:spacing w:before="0" w:after="0"/>
              <w:ind w:left="0" w:right="0" w:hanging="0"/>
              <w:jc w:val="left"/>
              <w:rPr>
                <w:shd w:fill="FFFF00" w:val="clear"/>
              </w:rPr>
            </w:pPr>
            <w:r>
              <w:rPr>
                <w:shd w:fill="FFFF00" w:val="clear"/>
              </w:rPr>
              <w:t>​</w:t>
            </w:r>
          </w:p>
        </w:tc>
        <w:tc>
          <w:tcPr>
            <w:tcW w:w="176" w:type="dxa"/>
            <w:tcBorders/>
            <w:vAlign w:val="center"/>
          </w:tcPr>
          <w:p>
            <w:pPr>
              <w:pStyle w:val="TableContents"/>
              <w:bidi w:val="0"/>
              <w:spacing w:before="0" w:after="240"/>
              <w:ind w:left="0" w:right="70" w:hanging="0"/>
              <w:jc w:val="left"/>
              <w:rPr>
                <w:shd w:fill="FFFF00" w:val="clear"/>
              </w:rPr>
            </w:pPr>
            <w:r>
              <w:rPr>
                <w:shd w:fill="FFFF00" w:val="clear"/>
              </w:rPr>
              <w:t>​</w:t>
            </w:r>
          </w:p>
          <w:p>
            <w:pPr>
              <w:pStyle w:val="TableContents"/>
              <w:bidi w:val="0"/>
              <w:spacing w:before="0" w:after="240"/>
              <w:ind w:left="0" w:right="70" w:hanging="0"/>
              <w:jc w:val="left"/>
              <w:rPr>
                <w:shd w:fill="FFFF00" w:val="clear"/>
              </w:rPr>
            </w:pPr>
            <w:r>
              <w:rPr>
                <w:shd w:fill="FFFF00" w:val="clear"/>
              </w:rPr>
              <w:t>​</w:t>
            </w:r>
          </w:p>
          <w:p>
            <w:pPr>
              <w:pStyle w:val="TableContents"/>
              <w:bidi w:val="0"/>
              <w:spacing w:before="0" w:after="0"/>
              <w:ind w:left="0" w:right="0" w:hanging="0"/>
              <w:jc w:val="left"/>
              <w:rPr>
                <w:shd w:fill="FFFF00" w:val="clear"/>
              </w:rPr>
            </w:pPr>
            <w:r>
              <w:rPr>
                <w:shd w:fill="FFFF00" w:val="clear"/>
              </w:rPr>
              <w:t>​</w:t>
            </w:r>
          </w:p>
        </w:tc>
        <w:tc>
          <w:tcPr>
            <w:tcW w:w="8685" w:type="dxa"/>
            <w:tcBorders/>
            <w:vAlign w:val="center"/>
          </w:tcPr>
          <w:p>
            <w:pPr>
              <w:pStyle w:val="TableContents"/>
              <w:bidi w:val="0"/>
              <w:spacing w:before="0" w:after="0"/>
              <w:ind w:left="0" w:right="0" w:hanging="0"/>
              <w:jc w:val="left"/>
              <w:rPr>
                <w:shd w:fill="FFFF00" w:val="clear"/>
              </w:rPr>
            </w:pPr>
            <w:r>
              <w:rPr>
                <w:shd w:fill="FFFF00" w:val="clear"/>
              </w:rPr>
              <w:t>​</w:t>
            </w:r>
          </w:p>
          <w:p>
            <w:pPr>
              <w:pStyle w:val="TableContents"/>
              <w:bidi w:val="0"/>
              <w:spacing w:before="0" w:after="180"/>
              <w:ind w:left="0" w:right="0" w:hanging="0"/>
              <w:jc w:val="both"/>
              <w:rPr>
                <w:rFonts w:ascii="Arial;Helvetica;sans-serif" w:hAnsi="Arial;Helvetica;sans-serif"/>
                <w:sz w:val="18"/>
                <w:shd w:fill="FFFF00" w:val="clear"/>
              </w:rPr>
            </w:pPr>
            <w:r>
              <w:rPr>
                <w:rFonts w:ascii="Arial;Helvetica;sans-serif" w:hAnsi="Arial;Helvetica;sans-serif"/>
                <w:sz w:val="18"/>
                <w:shd w:fill="FFFF00" w:val="clear"/>
              </w:rPr>
              <w:t>As of December 31, 2023, research and development expenses and accrued research and development expenses includes clinical trial expenses and related accrued clinical trial expenses.</w:t>
            </w:r>
          </w:p>
          <w:p>
            <w:pPr>
              <w:pStyle w:val="TableContents"/>
              <w:bidi w:val="0"/>
              <w:spacing w:before="0" w:after="180"/>
              <w:ind w:left="0" w:right="0" w:hanging="0"/>
              <w:jc w:val="both"/>
              <w:rPr>
                <w:shd w:fill="FFFF00" w:val="clear"/>
              </w:rPr>
            </w:pPr>
            <w:r>
              <w:rPr>
                <w:shd w:fill="FFFF00" w:val="clear"/>
              </w:rPr>
              <w:t>​</w:t>
            </w:r>
          </w:p>
          <w:p>
            <w:pPr>
              <w:pStyle w:val="TableContents"/>
              <w:bidi w:val="0"/>
              <w:spacing w:before="0" w:after="240"/>
              <w:ind w:left="0" w:right="70" w:hanging="0"/>
              <w:jc w:val="both"/>
              <w:rPr>
                <w:shd w:fill="FFFF00" w:val="clear"/>
              </w:rPr>
            </w:pPr>
            <w:r>
              <w:rPr>
                <w:shd w:fill="FFFF00" w:val="clear"/>
              </w:rPr>
              <w:t>​</w:t>
            </w:r>
          </w:p>
          <w:p>
            <w:pPr>
              <w:pStyle w:val="TableContents"/>
              <w:bidi w:val="0"/>
              <w:spacing w:before="0" w:after="0"/>
              <w:ind w:left="0" w:right="0" w:hanging="0"/>
              <w:jc w:val="left"/>
              <w:rPr>
                <w:shd w:fill="FFFF00" w:val="clear"/>
              </w:rPr>
            </w:pPr>
            <w:r>
              <w:rPr>
                <w:shd w:fill="FFFF00" w:val="clear"/>
              </w:rPr>
              <w:t>​</w:t>
            </w:r>
          </w:p>
        </w:tc>
      </w:tr>
      <w:tr>
        <w:trPr/>
        <w:tc>
          <w:tcPr>
            <w:tcW w:w="1344" w:type="dxa"/>
            <w:tcBorders/>
            <w:vAlign w:val="center"/>
          </w:tcPr>
          <w:p>
            <w:pPr>
              <w:pStyle w:val="TableContents"/>
              <w:bidi w:val="0"/>
              <w:spacing w:before="0" w:after="220"/>
              <w:ind w:left="0" w:right="0" w:hanging="0"/>
              <w:jc w:val="left"/>
              <w:rPr/>
            </w:pPr>
            <w:r>
              <w:rPr/>
              <w:t>​</w:t>
            </w:r>
          </w:p>
          <w:p>
            <w:pPr>
              <w:pStyle w:val="TableContents"/>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p>
            <w:pPr>
              <w:pStyle w:val="TableContents"/>
              <w:bidi w:val="0"/>
              <w:spacing w:before="0" w:after="200"/>
              <w:ind w:left="0" w:right="0" w:hanging="0"/>
              <w:jc w:val="left"/>
              <w:rPr/>
            </w:pPr>
            <w:r>
              <w:rPr/>
              <w:t>​</w:t>
            </w:r>
          </w:p>
          <w:p>
            <w:pPr>
              <w:pStyle w:val="TableContents"/>
              <w:bidi w:val="0"/>
              <w:spacing w:before="0" w:after="200"/>
              <w:ind w:left="0" w:right="0" w:hanging="0"/>
              <w:jc w:val="left"/>
              <w:rPr/>
            </w:pPr>
            <w:r>
              <w:rPr/>
              <w:t>​</w:t>
            </w:r>
          </w:p>
          <w:p>
            <w:pPr>
              <w:pStyle w:val="TableContents"/>
              <w:bidi w:val="0"/>
              <w:spacing w:before="0" w:after="200"/>
              <w:ind w:left="0" w:right="0" w:hanging="0"/>
              <w:jc w:val="left"/>
              <w:rPr/>
            </w:pPr>
            <w:r>
              <w:rPr/>
              <w:t>​</w:t>
            </w:r>
          </w:p>
          <w:p>
            <w:pPr>
              <w:pStyle w:val="TableContents"/>
              <w:bidi w:val="0"/>
              <w:spacing w:before="0" w:after="180"/>
              <w:ind w:left="0" w:right="0" w:hanging="0"/>
              <w:jc w:val="left"/>
              <w:rPr/>
            </w:pPr>
            <w:r>
              <w:rPr/>
              <w:t>​</w:t>
            </w:r>
          </w:p>
          <w:p>
            <w:pPr>
              <w:pStyle w:val="TableContents"/>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176" w:type="dxa"/>
            <w:tcBorders/>
            <w:vAlign w:val="center"/>
          </w:tcPr>
          <w:p>
            <w:pPr>
              <w:pStyle w:val="TableContents"/>
              <w:bidi w:val="0"/>
              <w:spacing w:before="0" w:after="240"/>
              <w:ind w:left="0" w:right="70" w:hanging="0"/>
              <w:jc w:val="left"/>
              <w:rPr/>
            </w:pPr>
            <w:r>
              <w:rPr/>
              <w:t>​</w:t>
            </w:r>
          </w:p>
          <w:p>
            <w:pPr>
              <w:pStyle w:val="TableContents"/>
              <w:bidi w:val="0"/>
              <w:spacing w:before="0" w:after="240"/>
              <w:ind w:left="0" w:right="70" w:hanging="0"/>
              <w:jc w:val="left"/>
              <w:rPr/>
            </w:pPr>
            <w:r>
              <w:rPr/>
              <w:t>​</w:t>
            </w:r>
          </w:p>
          <w:p>
            <w:pPr>
              <w:pStyle w:val="TableContents"/>
              <w:bidi w:val="0"/>
              <w:spacing w:before="0" w:after="240"/>
              <w:ind w:left="0" w:right="0" w:hanging="0"/>
              <w:jc w:val="left"/>
              <w:rPr/>
            </w:pPr>
            <w:r>
              <w:rPr/>
              <w:t>​</w:t>
            </w:r>
          </w:p>
        </w:tc>
        <w:tc>
          <w:tcPr>
            <w:tcW w:w="8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Clinical trial expense and related accrued clinical trial expenses</w:t>
            </w:r>
          </w:p>
          <w:p>
            <w:pPr>
              <w:pStyle w:val="TableContents"/>
              <w:bidi w:val="0"/>
              <w:spacing w:before="0" w:after="0"/>
              <w:ind w:left="0" w:right="0" w:hanging="0"/>
              <w:jc w:val="left"/>
              <w:rPr/>
            </w:pPr>
            <w:r>
              <w:rPr/>
              <w:t>​</w:t>
            </w:r>
          </w:p>
          <w:p>
            <w:pPr>
              <w:pStyle w:val="TableContents"/>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As discussed in Note 3 to the consolidated financial statements,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As of December 31, 2025, research and development expenses and accrued research and development expenses includes clinical trial expenses and related accrued clinical trial expenses.</w:t>
            </w:r>
          </w:p>
          <w:p>
            <w:pPr>
              <w:pStyle w:val="TableContents"/>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Auditing the Company’s clinical trial expenses and related accrued clinical trial expenses was complex because the evidence is accumulated from multiple third-party service providers and in certain circumstances, the nature and amount of services that have been rendered during the reporting period does not correspond to the timing and pattern of vendor invoicing.</w:t>
            </w:r>
          </w:p>
          <w:p>
            <w:pPr>
              <w:pStyle w:val="TableContents"/>
              <w:bidi w:val="0"/>
              <w:spacing w:before="0" w:after="240"/>
              <w:ind w:left="0" w:right="70" w:hanging="0"/>
              <w:jc w:val="both"/>
              <w:rPr>
                <w:rFonts w:ascii="Times New Roman;Times;serif" w:hAnsi="Times New Roman;Times;serif"/>
                <w:sz w:val="20"/>
              </w:rPr>
            </w:pPr>
            <w:r>
              <w:rPr>
                <w:rFonts w:ascii="Times New Roman;Times;serif" w:hAnsi="Times New Roman;Times;serif"/>
                <w:sz w:val="20"/>
              </w:rPr>
              <w:t>To test the clinical trial expenses and accrued clinical trial expenses, our audit procedures included, among others, evaluating the significant assumptions used by management to estimate the clinical trial expenses and testing the accuracy and completeness of the underlying data. To test the significant assumptions, we inspected the Company's contracts with third-party service providers, corroborated the progress of clinical trials and other research and development projects with the Company’s internal personnel that oversee these activities, and obtained information directly from third-party service providers which included the third parties’ estimates of clinical trial costs incurred to date. We also examined invoices received from vendors and cash disbursements made to third-party service providers subsequent to December 31, 2025 to assess the completeness of the recorded accruals.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served as the Company’s auditor since 2021.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Stamford, Connecticut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27, 2026</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07" w:name="ReportofIndependentRegisteredPublicAccou"/>
      <w:bookmarkEnd w:id="107"/>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8" w:name="_01b5d00a_64d8_468a_a496_bba9d8fbb443"/>
      <w:bookmarkEnd w:id="108"/>
      <w:r>
        <w:rPr>
          <w:rFonts w:ascii="Times New Roman;Times;serif" w:hAnsi="Times New Roman;Times;serif"/>
          <w:b/>
          <w:sz w:val="20"/>
        </w:rPr>
        <w:t>BIOXCEL THERAPEUTICS, INC.</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109" w:name="BALANCESHEETS_688394"/>
      <w:bookmarkEnd w:id="109"/>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w:t>
      </w:r>
    </w:p>
    <w:p>
      <w:pPr>
        <w:pStyle w:val="Normal"/>
        <w:bidi w:val="0"/>
        <w:spacing w:before="0" w:after="0"/>
        <w:jc w:val="left"/>
        <w:rPr>
          <w:sz w:val="4"/>
          <w:szCs w:val="4"/>
        </w:rPr>
      </w:pPr>
      <w:r>
        <w:rPr>
          <w:sz w:val="4"/>
          <w:szCs w:val="4"/>
        </w:rPr>
      </w:r>
      <w:bookmarkStart w:id="110" w:name="Tc_Gl8U2PKJnk-oBtJv2RTv2g_40_5"/>
      <w:bookmarkStart w:id="111" w:name="Tc_2cDlzxSYWU6Zpn8zUlgYug_40_2"/>
      <w:bookmarkStart w:id="112" w:name="Tc_n7s6dNxobE-G96gtyUvKig_40_0"/>
      <w:bookmarkStart w:id="113" w:name="Tc_08tkStNw6kSGcRJ3631UZA_39_0"/>
      <w:bookmarkStart w:id="114" w:name="Tc_yHdTw0LSyEqrPu9rFdzBlg_38_0"/>
      <w:bookmarkStart w:id="115" w:name="Tc_FwfEG-qT3kCwWL63myTdlw_37_0"/>
      <w:bookmarkStart w:id="116" w:name="Tc_xowwe6S2n0WZjqCfMVGLrg_36_0"/>
      <w:bookmarkStart w:id="117" w:name="Tc__fcXHNZpk0-1GcQh7BT0Ag_35_0"/>
      <w:bookmarkStart w:id="118" w:name="Tc_Ebus7AboTkyFlNKt2fcWMg_34_0"/>
      <w:bookmarkStart w:id="119" w:name="Tc_P-xONDdxQEy1eQO1CEorRg_33_0"/>
      <w:bookmarkStart w:id="120" w:name="Tc_Nj9fof51eUiOz85fBbuRWA_31_0"/>
      <w:bookmarkStart w:id="121" w:name="Tc_i7KN6KLXukSQqJ1n-omSvA_30_0"/>
      <w:bookmarkStart w:id="122" w:name="Tc_XI582yZrVUOaIJyqMRPdzQ_29_0"/>
      <w:bookmarkStart w:id="123" w:name="Tc_rVQl1e1Sl0CxwU4lSM1_vg_28_0"/>
      <w:bookmarkStart w:id="124" w:name="Tc_zqXQ6Z1iyk-dWvuam98OMg_27_0"/>
      <w:bookmarkStart w:id="125" w:name="Tc_bid-H8UAKkmRXFE7IAyp0g_26_0"/>
      <w:bookmarkStart w:id="126" w:name="Tc_PHmMMX0410eEk7xtsupSwA_25_0"/>
      <w:bookmarkStart w:id="127" w:name="Tc_gfhvr1gRiUaIPZp5xfzwIA_24_0"/>
      <w:bookmarkStart w:id="128" w:name="Tc_XFWdtvPyMEid1e8uAek9Vw_23_0"/>
      <w:bookmarkStart w:id="129" w:name="Tc_RM-2eVC1i0igzAu6aoXEFg_22_5"/>
      <w:bookmarkStart w:id="130" w:name="Tc_O4Q0EH4KvE28FxoBX1Sp-g_22_2"/>
      <w:bookmarkStart w:id="131" w:name="Tc_RvgZCvjl9kOq-dAC5nhtpQ_22_0"/>
      <w:bookmarkStart w:id="132" w:name="Tc_uF95--9nUEuQDYYYs39SPg_21_0"/>
      <w:bookmarkStart w:id="133" w:name="Tc_tNJ44skx1kKh90oyuRsAAQ_20_0"/>
      <w:bookmarkStart w:id="134" w:name="Tc_eZZ21PkBlECuw3tAsGlh8Q_18_5"/>
      <w:bookmarkStart w:id="135" w:name="Tc_TOi0Bmk8BUOIAcbKS3pIzA_18_2"/>
      <w:bookmarkStart w:id="136" w:name="Tc_AN5tjHppFU6N6tztUzUfTw_18_0"/>
      <w:bookmarkStart w:id="137" w:name="Tc_6J0MUp4lg0C6MBCgIgDYOQ_17_0"/>
      <w:bookmarkStart w:id="138" w:name="Tc_lO90uugYGUK3xFwxSITthA_16_0"/>
      <w:bookmarkStart w:id="139" w:name="Tc_Mj0l0uG_ukSYcdxUFWyWZQ_15_0"/>
      <w:bookmarkStart w:id="140" w:name="Tc_O13pHExUBkO8FvTSpEpLyw_14_0"/>
      <w:bookmarkStart w:id="141" w:name="Tc_JsOwYDFMsku07uwKdJYLww_13_0"/>
      <w:bookmarkStart w:id="142" w:name="Tc_PQi1X8sJoUGvo-HdRhzeQQ_12_0"/>
      <w:bookmarkStart w:id="143" w:name="Tc_lm2hWuSamESxzF3QmyccfQ_11_0"/>
      <w:bookmarkStart w:id="144" w:name="Tc_5osVlo83xkejk_87XGCPyQ_10_0"/>
      <w:bookmarkStart w:id="145" w:name="Tc_BwI6WXLsjUOqbN66BZ80Jg_9_0"/>
      <w:bookmarkStart w:id="146" w:name="Tc_CGnVay0eF02c4CMGJKyc1Q_8_5"/>
      <w:bookmarkStart w:id="147" w:name="Tc_7AWLH7epyEyNM3IvLhuWEg_8_2"/>
      <w:bookmarkStart w:id="148" w:name="Tc_45i_H8yHzEiU5Le5ysv96w_8_0"/>
      <w:bookmarkStart w:id="149" w:name="Tc_1OOKnmO0EEGVHse0FiGT3w_7_0"/>
      <w:bookmarkStart w:id="150" w:name="Tc_uxS4ipBn80-6_0pLxIn5NA_6_0"/>
      <w:bookmarkStart w:id="151" w:name="Tc_FqU5QS-4J0-Jc7iS6DXgNw_5_5"/>
      <w:bookmarkStart w:id="152" w:name="Tc_DaE7JQkW2kiCMVIru9oDWg_5_2"/>
      <w:bookmarkStart w:id="153" w:name="Tc_Ax30lTAXAUus80H1JPtAhw_4_5"/>
      <w:bookmarkStart w:id="154" w:name="Tc_FmGo1xxDlESMROguKJ1Vrw_4_2"/>
      <w:bookmarkStart w:id="155" w:name="_5ca8df52_6219_44d8_bcae_a98041ff4c46"/>
      <w:bookmarkStart w:id="156" w:name="Tc_Gl8U2PKJnk-oBtJv2RTv2g_40_5"/>
      <w:bookmarkStart w:id="157" w:name="Tc_2cDlzxSYWU6Zpn8zUlgYug_40_2"/>
      <w:bookmarkStart w:id="158" w:name="Tc_n7s6dNxobE-G96gtyUvKig_40_0"/>
      <w:bookmarkStart w:id="159" w:name="Tc_08tkStNw6kSGcRJ3631UZA_39_0"/>
      <w:bookmarkStart w:id="160" w:name="Tc_yHdTw0LSyEqrPu9rFdzBlg_38_0"/>
      <w:bookmarkStart w:id="161" w:name="Tc_FwfEG-qT3kCwWL63myTdlw_37_0"/>
      <w:bookmarkStart w:id="162" w:name="Tc_xowwe6S2n0WZjqCfMVGLrg_36_0"/>
      <w:bookmarkStart w:id="163" w:name="Tc__fcXHNZpk0-1GcQh7BT0Ag_35_0"/>
      <w:bookmarkStart w:id="164" w:name="Tc_Ebus7AboTkyFlNKt2fcWMg_34_0"/>
      <w:bookmarkStart w:id="165" w:name="Tc_P-xONDdxQEy1eQO1CEorRg_33_0"/>
      <w:bookmarkStart w:id="166" w:name="Tc_Nj9fof51eUiOz85fBbuRWA_31_0"/>
      <w:bookmarkStart w:id="167" w:name="Tc_i7KN6KLXukSQqJ1n-omSvA_30_0"/>
      <w:bookmarkStart w:id="168" w:name="Tc_XI582yZrVUOaIJyqMRPdzQ_29_0"/>
      <w:bookmarkStart w:id="169" w:name="Tc_rVQl1e1Sl0CxwU4lSM1_vg_28_0"/>
      <w:bookmarkStart w:id="170" w:name="Tc_zqXQ6Z1iyk-dWvuam98OMg_27_0"/>
      <w:bookmarkStart w:id="171" w:name="Tc_bid-H8UAKkmRXFE7IAyp0g_26_0"/>
      <w:bookmarkStart w:id="172" w:name="Tc_PHmMMX0410eEk7xtsupSwA_25_0"/>
      <w:bookmarkStart w:id="173" w:name="Tc_gfhvr1gRiUaIPZp5xfzwIA_24_0"/>
      <w:bookmarkStart w:id="174" w:name="Tc_XFWdtvPyMEid1e8uAek9Vw_23_0"/>
      <w:bookmarkStart w:id="175" w:name="Tc_RM-2eVC1i0igzAu6aoXEFg_22_5"/>
      <w:bookmarkStart w:id="176" w:name="Tc_O4Q0EH4KvE28FxoBX1Sp-g_22_2"/>
      <w:bookmarkStart w:id="177" w:name="Tc_RvgZCvjl9kOq-dAC5nhtpQ_22_0"/>
      <w:bookmarkStart w:id="178" w:name="Tc_uF95--9nUEuQDYYYs39SPg_21_0"/>
      <w:bookmarkStart w:id="179" w:name="Tc_tNJ44skx1kKh90oyuRsAAQ_20_0"/>
      <w:bookmarkStart w:id="180" w:name="Tc_eZZ21PkBlECuw3tAsGlh8Q_18_5"/>
      <w:bookmarkStart w:id="181" w:name="Tc_TOi0Bmk8BUOIAcbKS3pIzA_18_2"/>
      <w:bookmarkStart w:id="182" w:name="Tc_AN5tjHppFU6N6tztUzUfTw_18_0"/>
      <w:bookmarkStart w:id="183" w:name="Tc_6J0MUp4lg0C6MBCgIgDYOQ_17_0"/>
      <w:bookmarkStart w:id="184" w:name="Tc_lO90uugYGUK3xFwxSITthA_16_0"/>
      <w:bookmarkStart w:id="185" w:name="Tc_Mj0l0uG_ukSYcdxUFWyWZQ_15_0"/>
      <w:bookmarkStart w:id="186" w:name="Tc_O13pHExUBkO8FvTSpEpLyw_14_0"/>
      <w:bookmarkStart w:id="187" w:name="Tc_JsOwYDFMsku07uwKdJYLww_13_0"/>
      <w:bookmarkStart w:id="188" w:name="Tc_PQi1X8sJoUGvo-HdRhzeQQ_12_0"/>
      <w:bookmarkStart w:id="189" w:name="Tc_lm2hWuSamESxzF3QmyccfQ_11_0"/>
      <w:bookmarkStart w:id="190" w:name="Tc_5osVlo83xkejk_87XGCPyQ_10_0"/>
      <w:bookmarkStart w:id="191" w:name="Tc_BwI6WXLsjUOqbN66BZ80Jg_9_0"/>
      <w:bookmarkStart w:id="192" w:name="Tc_CGnVay0eF02c4CMGJKyc1Q_8_5"/>
      <w:bookmarkStart w:id="193" w:name="Tc_7AWLH7epyEyNM3IvLhuWEg_8_2"/>
      <w:bookmarkStart w:id="194" w:name="Tc_45i_H8yHzEiU5Le5ysv96w_8_0"/>
      <w:bookmarkStart w:id="195" w:name="Tc_1OOKnmO0EEGVHse0FiGT3w_7_0"/>
      <w:bookmarkStart w:id="196" w:name="Tc_uxS4ipBn80-6_0pLxIn5NA_6_0"/>
      <w:bookmarkStart w:id="197" w:name="Tc_FqU5QS-4J0-Jc7iS6DXgNw_5_5"/>
      <w:bookmarkStart w:id="198" w:name="Tc_DaE7JQkW2kiCMVIru9oDWg_5_2"/>
      <w:bookmarkStart w:id="199" w:name="Tc_Ax30lTAXAUus80H1JPtAhw_4_5"/>
      <w:bookmarkStart w:id="200" w:name="Tc_FmGo1xxDlESMROguKJ1Vrw_4_2"/>
      <w:bookmarkStart w:id="201" w:name="_5ca8df52_6219_44d8_bcae_a98041ff4c46"/>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tbl>
      <w:tblPr>
        <w:tblW w:w="10205" w:type="dxa"/>
        <w:jc w:val="left"/>
        <w:tblInd w:w="0" w:type="dxa"/>
        <w:tblLayout w:type="fixed"/>
        <w:tblCellMar>
          <w:top w:w="0" w:type="dxa"/>
          <w:left w:w="0" w:type="dxa"/>
          <w:bottom w:w="0" w:type="dxa"/>
          <w:right w:w="0" w:type="dxa"/>
        </w:tblCellMar>
      </w:tblPr>
      <w:tblGrid>
        <w:gridCol w:w="7304"/>
        <w:gridCol w:w="346"/>
        <w:gridCol w:w="212"/>
        <w:gridCol w:w="869"/>
        <w:gridCol w:w="346"/>
        <w:gridCol w:w="212"/>
        <w:gridCol w:w="916"/>
      </w:tblGrid>
      <w:tr>
        <w:trPr/>
        <w:tc>
          <w:tcPr>
            <w:tcW w:w="7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638040" cy="175260"/>
                      <wp:effectExtent l="0" t="0" r="0" b="0"/>
                      <wp:wrapNone/>
                      <wp:docPr id="263" name="Frame259"/>
                      <a:graphic xmlns:a="http://schemas.openxmlformats.org/drawingml/2006/main">
                        <a:graphicData uri="http://schemas.microsoft.com/office/word/2010/wordprocessingShape">
                          <wps:wsp>
                            <wps:cNvSpPr txBox="1"/>
                            <wps:spPr>
                              <a:xfrm>
                                <a:off x="0" y="0"/>
                                <a:ext cx="4638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4"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4620" cy="175260"/>
                      <wp:effectExtent l="0" t="0" r="0" b="0"/>
                      <wp:wrapNone/>
                      <wp:docPr id="265" name="Frame26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51815" cy="175260"/>
                      <wp:effectExtent l="0" t="0" r="0" b="0"/>
                      <wp:wrapNone/>
                      <wp:docPr id="266" name="Frame26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7"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4620" cy="175260"/>
                      <wp:effectExtent l="0" t="0" r="0" b="0"/>
                      <wp:wrapNone/>
                      <wp:docPr id="268" name="Frame26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81660" cy="175260"/>
                      <wp:effectExtent l="0" t="0" r="0" b="0"/>
                      <wp:wrapNone/>
                      <wp:docPr id="269" name="Frame26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center"/>
              <w:rPr/>
            </w:pPr>
            <w:r>
              <w:rPr/>
              <w:t>​</w:t>
            </w:r>
          </w:p>
        </w:tc>
        <w:tc>
          <w:tcPr>
            <w:tcW w:w="8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8" w:type="dxa"/>
            <w:gridSpan w:val="2"/>
            <w:tcBorders/>
            <w:vAlign w:val="center"/>
          </w:tcPr>
          <w:p>
            <w:pPr>
              <w:pStyle w:val="TableContents"/>
              <w:bidi w:val="0"/>
              <w:spacing w:before="0" w:after="0"/>
              <w:ind w:left="0" w:right="0" w:hanging="0"/>
              <w:jc w:val="center"/>
              <w:rPr/>
            </w:pPr>
            <w:r>
              <w:rPr/>
              <w:t>​</w:t>
            </w:r>
          </w:p>
        </w:tc>
      </w:tr>
      <w:tr>
        <w:trPr/>
        <w:tc>
          <w:tcPr>
            <w:tcW w:w="7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2"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r>
      <w:tr>
        <w:trPr/>
        <w:tc>
          <w:tcPr>
            <w:tcW w:w="7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vAlign w:val="center"/>
          </w:tcPr>
          <w:p>
            <w:pPr>
              <w:pStyle w:val="TableContents"/>
              <w:bidi w:val="0"/>
              <w:spacing w:before="0" w:after="0"/>
              <w:ind w:left="0" w:right="0" w:hanging="0"/>
              <w:jc w:val="center"/>
              <w:rPr/>
            </w:pPr>
            <w:r>
              <w:rPr/>
              <w:t>​</w:t>
            </w:r>
          </w:p>
        </w:tc>
      </w:tr>
      <w:tr>
        <w:trPr/>
        <w:tc>
          <w:tcPr>
            <w:tcW w:w="7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  ​</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29,854</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44,685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37,394</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38,338</w:t>
            </w:r>
          </w:p>
        </w:tc>
      </w:tr>
      <w:tr>
        <w:trPr/>
        <w:tc>
          <w:tcPr>
            <w:tcW w:w="73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15,990</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5,762</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24,931</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related parties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53,926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22,233</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6,633</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84,663</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102,508</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140,379</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131,439</w:t>
            </w:r>
          </w:p>
        </w:tc>
      </w:tr>
      <w:tr>
        <w:trPr/>
        <w:tc>
          <w:tcPr>
            <w:tcW w:w="730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(deficit)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$0.001 par value, 10,000 shares authorized; no shares issued and outstanding as of December 31, 2025 and December 31, 2024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200,000 shares authorized as of December 31, 2025 and December 31, 2024; 22,328 and 3,102 shares issued and outstanding as of December 31, 2025 and December 31, 2024,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paid-in-capital</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624,555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557,047</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(720,094)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(650,197)</w:t>
            </w:r>
          </w:p>
        </w:tc>
      </w:tr>
      <w:tr>
        <w:trPr/>
        <w:tc>
          <w:tcPr>
            <w:tcW w:w="7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(deficit) equity</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(95,463)</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(93,101)</w:t>
            </w:r>
          </w:p>
        </w:tc>
      </w:tr>
      <w:tr>
        <w:trPr/>
        <w:tc>
          <w:tcPr>
            <w:tcW w:w="7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(deficit)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38,338</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2" w:name="_36b97e6b_7283_460d_a87e_ed7ffc3651d3"/>
      <w:bookmarkEnd w:id="202"/>
      <w:r>
        <w:rPr>
          <w:rFonts w:ascii="Times New Roman;Times;serif" w:hAnsi="Times New Roman;Times;serif"/>
          <w:b/>
          <w:sz w:val="20"/>
        </w:rPr>
        <w:t>BIOXCEL THERAPEUTICS, INC.</w:t>
      </w:r>
    </w:p>
    <w:p>
      <w:pPr>
        <w:pStyle w:val="TextBody"/>
        <w:bidi w:val="0"/>
        <w:spacing w:before="0" w:after="240"/>
        <w:ind w:left="0" w:right="0" w:hanging="0"/>
        <w:jc w:val="center"/>
        <w:rPr>
          <w:rFonts w:ascii="Times New Roman;Times;serif" w:hAnsi="Times New Roman;Times;serif"/>
          <w:b/>
          <w:sz w:val="20"/>
        </w:rPr>
      </w:pPr>
      <w:bookmarkStart w:id="203" w:name="STATEMENTSOFOPERATIONS_773604"/>
      <w:bookmarkEnd w:id="203"/>
      <w:r>
        <w:rPr>
          <w:rFonts w:ascii="Times New Roman;Times;serif" w:hAnsi="Times New Roman;Times;serif"/>
          <w:b/>
          <w:sz w:val="20"/>
        </w:rPr>
        <w:t>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w:t>
      </w:r>
    </w:p>
    <w:p>
      <w:pPr>
        <w:pStyle w:val="Normal"/>
        <w:bidi w:val="0"/>
        <w:spacing w:before="0" w:after="0"/>
        <w:jc w:val="left"/>
        <w:rPr>
          <w:sz w:val="4"/>
          <w:szCs w:val="4"/>
        </w:rPr>
      </w:pPr>
      <w:r>
        <w:rPr>
          <w:sz w:val="4"/>
          <w:szCs w:val="4"/>
        </w:rPr>
      </w:r>
      <w:bookmarkStart w:id="204" w:name="Tc_4YVLWDTFvUibxRS9q7hiSQ_20_0"/>
      <w:bookmarkStart w:id="205" w:name="Tc_2lQuCou8TEiLU8Jt0lRYhA_19_5"/>
      <w:bookmarkStart w:id="206" w:name="Tc_6maF_w69MESHqbXHu74Olw_19_2"/>
      <w:bookmarkStart w:id="207" w:name="Tc_q7q_b4KM5E6BK3-A76W_VQ_19_0"/>
      <w:bookmarkStart w:id="208" w:name="Tc_vI24utXn-EmCbpgSKu-rmw_18_5"/>
      <w:bookmarkStart w:id="209" w:name="Tc_1VWbdHVCrU-JoRpvozloYg_18_2"/>
      <w:bookmarkStart w:id="210" w:name="Tc_1i6DBX1veU29VKS_5wEcgQ_18_0"/>
      <w:bookmarkStart w:id="211" w:name="Tc_T-SlnayiXUi_ZLN8S_Um0g_17_0"/>
      <w:bookmarkStart w:id="212" w:name="Tc_j1Lq0m6hdUyaCbc9JH1VDw_16_0"/>
      <w:bookmarkStart w:id="213" w:name="Tc_sAOVNum63EKfTkO5i0Lq_Q_15_0"/>
      <w:bookmarkStart w:id="214" w:name="Tc_i53sAvEfu0u8n9fFnZ7btw_14_0"/>
      <w:bookmarkStart w:id="215" w:name="Tc_mJRR6HTMekGWL5hwQRBv7A_13_0"/>
      <w:bookmarkStart w:id="216" w:name="Tc_zB494TOBx0O9A2xTMdeAkw_12_0"/>
      <w:bookmarkStart w:id="217" w:name="Tc_leJz_zeuSkukZieGM6qyPg_11_0"/>
      <w:bookmarkStart w:id="218" w:name="Tc_hzh6jge0U0iNIAqvCqlevA_10_0"/>
      <w:bookmarkStart w:id="219" w:name="Tc_x9AMHRILdkKy3zHeSGT0FQ_9_0"/>
      <w:bookmarkStart w:id="220" w:name="Tc_lv-CgnLPhE-gbX3N5E7OXA_8_0"/>
      <w:bookmarkStart w:id="221" w:name="Tc_hdvZtn8TskyDPpGYehT7hQ_7_0"/>
      <w:bookmarkStart w:id="222" w:name="Tc_KzBoWsBkEEqOe1cKXs6O5w_5_5"/>
      <w:bookmarkStart w:id="223" w:name="Tc_XYWq7VfRc0-VCnPN8CBzqA_5_2"/>
      <w:bookmarkStart w:id="224" w:name="Tc_aTo9jpHKQkS53geGlbZ8QA_5_0"/>
      <w:bookmarkStart w:id="225" w:name="Tc_6CrBQ36urUq1VJqEseQQpw_4_0"/>
      <w:bookmarkStart w:id="226" w:name="Tc_jLo01zuIMkKFLgBNcQV4-w_2_5"/>
      <w:bookmarkStart w:id="227" w:name="Tc_c7yWuEEWbEqsyt3k4bDlPw_2_2"/>
      <w:bookmarkStart w:id="228" w:name="Tc_SfmpwH_qTUi2h-I_Sq-4HQ_1_2"/>
      <w:bookmarkStart w:id="229" w:name="_7d904eb2_cd1b_452c_b415_1dc164155aa1"/>
      <w:bookmarkStart w:id="230" w:name="_deb0ea3f_f22f_44b9_abde_6f590a738221"/>
      <w:bookmarkStart w:id="231" w:name="Tc_4YVLWDTFvUibxRS9q7hiSQ_20_0"/>
      <w:bookmarkStart w:id="232" w:name="Tc_2lQuCou8TEiLU8Jt0lRYhA_19_5"/>
      <w:bookmarkStart w:id="233" w:name="Tc_6maF_w69MESHqbXHu74Olw_19_2"/>
      <w:bookmarkStart w:id="234" w:name="Tc_q7q_b4KM5E6BK3-A76W_VQ_19_0"/>
      <w:bookmarkStart w:id="235" w:name="Tc_vI24utXn-EmCbpgSKu-rmw_18_5"/>
      <w:bookmarkStart w:id="236" w:name="Tc_1VWbdHVCrU-JoRpvozloYg_18_2"/>
      <w:bookmarkStart w:id="237" w:name="Tc_1i6DBX1veU29VKS_5wEcgQ_18_0"/>
      <w:bookmarkStart w:id="238" w:name="Tc_T-SlnayiXUi_ZLN8S_Um0g_17_0"/>
      <w:bookmarkStart w:id="239" w:name="Tc_j1Lq0m6hdUyaCbc9JH1VDw_16_0"/>
      <w:bookmarkStart w:id="240" w:name="Tc_sAOVNum63EKfTkO5i0Lq_Q_15_0"/>
      <w:bookmarkStart w:id="241" w:name="Tc_i53sAvEfu0u8n9fFnZ7btw_14_0"/>
      <w:bookmarkStart w:id="242" w:name="Tc_mJRR6HTMekGWL5hwQRBv7A_13_0"/>
      <w:bookmarkStart w:id="243" w:name="Tc_zB494TOBx0O9A2xTMdeAkw_12_0"/>
      <w:bookmarkStart w:id="244" w:name="Tc_leJz_zeuSkukZieGM6qyPg_11_0"/>
      <w:bookmarkStart w:id="245" w:name="Tc_hzh6jge0U0iNIAqvCqlevA_10_0"/>
      <w:bookmarkStart w:id="246" w:name="Tc_x9AMHRILdkKy3zHeSGT0FQ_9_0"/>
      <w:bookmarkStart w:id="247" w:name="Tc_lv-CgnLPhE-gbX3N5E7OXA_8_0"/>
      <w:bookmarkStart w:id="248" w:name="Tc_hdvZtn8TskyDPpGYehT7hQ_7_0"/>
      <w:bookmarkStart w:id="249" w:name="Tc_KzBoWsBkEEqOe1cKXs6O5w_5_5"/>
      <w:bookmarkStart w:id="250" w:name="Tc_XYWq7VfRc0-VCnPN8CBzqA_5_2"/>
      <w:bookmarkStart w:id="251" w:name="Tc_aTo9jpHKQkS53geGlbZ8QA_5_0"/>
      <w:bookmarkStart w:id="252" w:name="Tc_6CrBQ36urUq1VJqEseQQpw_4_0"/>
      <w:bookmarkStart w:id="253" w:name="Tc_jLo01zuIMkKFLgBNcQV4-w_2_5"/>
      <w:bookmarkStart w:id="254" w:name="Tc_c7yWuEEWbEqsyt3k4bDlPw_2_2"/>
      <w:bookmarkStart w:id="255" w:name="Tc_SfmpwH_qTUi2h-I_Sq-4HQ_1_2"/>
      <w:bookmarkStart w:id="256" w:name="_7d904eb2_cd1b_452c_b415_1dc164155aa1"/>
      <w:bookmarkStart w:id="257" w:name="_deb0ea3f_f22f_44b9_abde_6f590a738221"/>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tbl>
      <w:tblPr>
        <w:tblW w:w="8752" w:type="dxa"/>
        <w:jc w:val="left"/>
        <w:tblInd w:w="0" w:type="dxa"/>
        <w:tblLayout w:type="fixed"/>
        <w:tblCellMar>
          <w:top w:w="0" w:type="dxa"/>
          <w:left w:w="0" w:type="dxa"/>
          <w:bottom w:w="0" w:type="dxa"/>
          <w:right w:w="0" w:type="dxa"/>
        </w:tblCellMar>
      </w:tblPr>
      <w:tblGrid>
        <w:gridCol w:w="6001"/>
        <w:gridCol w:w="346"/>
        <w:gridCol w:w="211"/>
        <w:gridCol w:w="796"/>
        <w:gridCol w:w="346"/>
        <w:gridCol w:w="211"/>
        <w:gridCol w:w="841"/>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810635" cy="175260"/>
                      <wp:effectExtent l="0" t="0" r="0" b="0"/>
                      <wp:wrapNone/>
                      <wp:docPr id="270" name="Frame266"/>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1"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2"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05460" cy="175260"/>
                      <wp:effectExtent l="0" t="0" r="0" b="0"/>
                      <wp:wrapNone/>
                      <wp:docPr id="273" name="Frame2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4"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5"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34035" cy="175260"/>
                      <wp:effectExtent l="0" t="0" r="0" b="0"/>
                      <wp:wrapNone/>
                      <wp:docPr id="276" name="Frame27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w:t>
            </w:r>
          </w:p>
        </w:tc>
      </w:tr>
      <w:tr>
        <w:trPr/>
        <w:tc>
          <w:tcPr>
            <w:tcW w:w="60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30,435</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34,492</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69,511</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(67,245)</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15,129</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(20,173)</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(59,599)</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share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2,535</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8" w:name="_c0210c61_eb67_4b80_a9bb_0ca21029d7de"/>
      <w:bookmarkEnd w:id="258"/>
      <w:r>
        <w:rPr>
          <w:rFonts w:ascii="Times New Roman;Times;serif" w:hAnsi="Times New Roman;Times;serif"/>
          <w:b/>
          <w:sz w:val="20"/>
        </w:rPr>
        <w:t>BIOXCEL THERAPEUTICS, INC.</w:t>
      </w:r>
    </w:p>
    <w:p>
      <w:pPr>
        <w:pStyle w:val="TextBody"/>
        <w:bidi w:val="0"/>
        <w:spacing w:before="0" w:after="240"/>
        <w:ind w:left="0" w:right="0" w:hanging="0"/>
        <w:jc w:val="center"/>
        <w:rPr>
          <w:rFonts w:ascii="Times New Roman;Times;serif" w:hAnsi="Times New Roman;Times;serif"/>
          <w:b/>
          <w:sz w:val="20"/>
        </w:rPr>
      </w:pPr>
      <w:bookmarkStart w:id="259" w:name="STATEMENTSOFCHANGESINSTOCKHOLDERSEQUITY_"/>
      <w:bookmarkEnd w:id="259"/>
      <w:r>
        <w:rPr>
          <w:rFonts w:ascii="Times New Roman;Times;serif" w:hAnsi="Times New Roman;Times;serif"/>
          <w:b/>
          <w:sz w:val="20"/>
        </w:rPr>
        <w:t xml:space="preserve">CONSOLIDATED STATEMENTS OF CHANGES IN STOCKHOLDERS’ (DEFICIT) EQUITY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Normal"/>
        <w:bidi w:val="0"/>
        <w:spacing w:before="0" w:after="0"/>
        <w:jc w:val="left"/>
        <w:rPr>
          <w:sz w:val="4"/>
          <w:szCs w:val="4"/>
        </w:rPr>
      </w:pPr>
      <w:r>
        <w:rPr>
          <w:sz w:val="4"/>
          <w:szCs w:val="4"/>
        </w:rPr>
      </w:r>
      <w:bookmarkStart w:id="260" w:name="Tc_mu4T1S7p5UKka99T4V6A_Q_18_13"/>
      <w:bookmarkStart w:id="261" w:name="Tc_czYEBHMvfEurOhcpT1OlNg_18_10"/>
      <w:bookmarkStart w:id="262" w:name="Tc_nnoIIf6yV0SSUi0-EDE7Vg_18_7"/>
      <w:bookmarkStart w:id="263" w:name="Tc_-NUYr7qRA0-ppwXiul-cIg_18_4"/>
      <w:bookmarkStart w:id="264" w:name="Tc_dsN07goidE6HoACR6M2bsQ_18_0"/>
      <w:bookmarkStart w:id="265" w:name="Tc_KL1nlB4ibkab8hymRu7khg_17_8"/>
      <w:bookmarkStart w:id="266" w:name="Tc_REsVkWx4V0Wy3rX9NDNuPQ_17_5"/>
      <w:bookmarkStart w:id="267" w:name="Tc_B1l2UGicoEuSknWsN2y_lg_17_2"/>
      <w:bookmarkStart w:id="268" w:name="Tc_Iu_vro0wDE2vcYY28OHf8g_17_0"/>
      <w:bookmarkStart w:id="269" w:name="Tc_svJ6RqeoNkKWl76Ch7Jz3g_16_11"/>
      <w:bookmarkStart w:id="270" w:name="Tc_0RjexIgBGEeSQpwF1KG00A_16_5"/>
      <w:bookmarkStart w:id="271" w:name="Tc_m9aa6HBDtkem53WxaKWU5g_16_0"/>
      <w:bookmarkStart w:id="272" w:name="Tc_cTZdJJstikm6roH9gummtg_15_11"/>
      <w:bookmarkStart w:id="273" w:name="Tc_7x51ZcFUBEOSCEgOPalxVg_15_5"/>
      <w:bookmarkStart w:id="274" w:name="Tc_FyTXwypfJUeO8oIoxSFPHA_15_2"/>
      <w:bookmarkStart w:id="275" w:name="Tc_qNYuT_J0v0yUFujcrLy_sQ_15_0"/>
      <w:bookmarkStart w:id="276" w:name="Tc_zZFrOXzOM02ekgIjxvA8hQ_14_11"/>
      <w:bookmarkStart w:id="277" w:name="Tc_rMHq65b4nE2vAebgV842KA_14_5"/>
      <w:bookmarkStart w:id="278" w:name="Tc_X_8XEReWA0u8viUzFDAzcw_14_2"/>
      <w:bookmarkStart w:id="279" w:name="Tc_tm3dkAhnu0mmQlNUCZMAYQ_14_0"/>
      <w:bookmarkStart w:id="280" w:name="Tc_HT46S0F3W06auXz1IpsrUw_13_11"/>
      <w:bookmarkStart w:id="281" w:name="Tc_9osyFsPF5kiQgArleNDvFQ_13_0"/>
      <w:bookmarkStart w:id="282" w:name="Tc_objf8ef470mx0PbfTNEzWA_12_13"/>
      <w:bookmarkStart w:id="283" w:name="Tc_ZKP_lLZhIESqPj1XB7J15g_12_10"/>
      <w:bookmarkStart w:id="284" w:name="Tc_TBzxvb05PE2WvmTBQhlxuA_12_7"/>
      <w:bookmarkStart w:id="285" w:name="Tc_9dNd46QYo0OIK9-3cfyPeg_12_4"/>
      <w:bookmarkStart w:id="286" w:name="Tc_ja5-7lUp-E-6LWyyjB3T-A_12_0"/>
      <w:bookmarkStart w:id="287" w:name="Tc_MdDR_6iv3ES_qzgVV8-HSw_11_8"/>
      <w:bookmarkStart w:id="288" w:name="Tc_dbNjIqDv2kiAs3hT-l0V_w_11_5"/>
      <w:bookmarkStart w:id="289" w:name="Tc_3xxpKCOo80ii-qvcNd3qYg_11_2"/>
      <w:bookmarkStart w:id="290" w:name="Tc_3xZ74HQ4kEqGg64m3bM_Eg_11_0"/>
      <w:bookmarkStart w:id="291" w:name="Tc_bh3D_4eFpkqy7yzU6R21Tw_10_11"/>
      <w:bookmarkStart w:id="292" w:name="Tc_5VyUt923rkeGpURm3scfAQ_10_5"/>
      <w:bookmarkStart w:id="293" w:name="Tc_UOvgvjiorkS0KlE7YRna8Q_10_0"/>
      <w:bookmarkStart w:id="294" w:name="Tc_rjoX69MKBE-qFUOlM4YNCg_9_11"/>
      <w:bookmarkStart w:id="295" w:name="Tc_6-3H-lfFXUOQrZ9ry3V5_Q_9_5"/>
      <w:bookmarkStart w:id="296" w:name="Tc_kdfCxEvlfEKgmwQ5eiAUgw_9_2"/>
      <w:bookmarkStart w:id="297" w:name="Tc_9bPBXakztEaPQiRkcxhe-w_9_0"/>
      <w:bookmarkStart w:id="298" w:name="Tc_9OP_ONqxZ0CU42A5aESfxw_8_11"/>
      <w:bookmarkStart w:id="299" w:name="Tc_MMjfVLSH80KE0kYTMVRyRQ_8_5"/>
      <w:bookmarkStart w:id="300" w:name="Tc_rbvGfPFOfUSqEs3VdmdBGg_8_2"/>
      <w:bookmarkStart w:id="301" w:name="Tc_WGL5zsdmM06d9jKpEXNi0g_8_0"/>
      <w:bookmarkStart w:id="302" w:name="Tc_arQlmQiGr0O_rnFXFzIBNQ_7_11"/>
      <w:bookmarkStart w:id="303" w:name="Tc_XdLgAy1AB0erWzWNaaQnzA_7_5"/>
      <w:bookmarkStart w:id="304" w:name="Tc_Ei3fhMyNNUqdoCkHda62ew_7_2"/>
      <w:bookmarkStart w:id="305" w:name="Tc_WWk-8DKvD0GNkWfiPo1UHg_7_0"/>
      <w:bookmarkStart w:id="306" w:name="Tc_dFHtChIYaUuekwqkXQU2Kw_6_11"/>
      <w:bookmarkStart w:id="307" w:name="Tc_87KO1zRueUWpiCT_Oh9qhg_6_5"/>
      <w:bookmarkStart w:id="308" w:name="Tc_SLN2_mgpdUya0VIqAQQqyQ_6_2"/>
      <w:bookmarkStart w:id="309" w:name="Tc_SZhCMBK8rECO1AeY-rdiGg_6_0"/>
      <w:bookmarkStart w:id="310" w:name="Tc_VtDcFmVmj02uD1v6JOGdrw_5_11"/>
      <w:bookmarkStart w:id="311" w:name="Tc_YWDbyYhem0OD6VA1LXPdQw_5_0"/>
      <w:bookmarkStart w:id="312" w:name="Tc_R7qJYF9YakSHSFemWoT1qw_4_13"/>
      <w:bookmarkStart w:id="313" w:name="Tc_tU9uOssH70qEFSeuVl0fug_4_10"/>
      <w:bookmarkStart w:id="314" w:name="Tc_0jSqmD-hwU2OpPNsqfYIBw_4_7"/>
      <w:bookmarkStart w:id="315" w:name="Tc_pp-eQOX7MkKItfzsTpoEzg_4_4"/>
      <w:bookmarkStart w:id="316" w:name="Tc_OsuuJaMsgEC--jYNkslyKQ_4_0"/>
      <w:bookmarkStart w:id="317" w:name="Tc_c1n0CXAUck2LYY2zZeKl3Q_3_13"/>
      <w:bookmarkStart w:id="318" w:name="Tc_LQDCwYlg3kWd9zVISkoiJQ_3_10"/>
      <w:bookmarkStart w:id="319" w:name="Tc_vyIM-YuCq0mIo0UrMYmH-Q_3_7"/>
      <w:bookmarkStart w:id="320" w:name="Tc_bYKsObSdS0-_9GyHXuJUYg_3_4"/>
      <w:bookmarkStart w:id="321" w:name="Tc_mwzZ21aTd0CD0msRZ-cKfg_3_2"/>
      <w:bookmarkStart w:id="322" w:name="Tc_CHXUShmUd0SfLYMlQaowYA_2_10"/>
      <w:bookmarkStart w:id="323" w:name="Tc__RuO_xOjPE-T8qOWPS8J4w_2_7"/>
      <w:bookmarkStart w:id="324" w:name="Tc_xEM2JoKVdUuHBlbBZko6iw_2_2"/>
      <w:bookmarkStart w:id="325" w:name="Tc_2JVkQb9HtkeVkzQYiT9R1Q_1_7"/>
      <w:bookmarkStart w:id="326" w:name="_40fa7b67_9cfc_4dcd_9a63_d1374915c3a8"/>
      <w:bookmarkStart w:id="327" w:name="Tc_mu4T1S7p5UKka99T4V6A_Q_18_13"/>
      <w:bookmarkStart w:id="328" w:name="Tc_czYEBHMvfEurOhcpT1OlNg_18_10"/>
      <w:bookmarkStart w:id="329" w:name="Tc_nnoIIf6yV0SSUi0-EDE7Vg_18_7"/>
      <w:bookmarkStart w:id="330" w:name="Tc_-NUYr7qRA0-ppwXiul-cIg_18_4"/>
      <w:bookmarkStart w:id="331" w:name="Tc_dsN07goidE6HoACR6M2bsQ_18_0"/>
      <w:bookmarkStart w:id="332" w:name="Tc_KL1nlB4ibkab8hymRu7khg_17_8"/>
      <w:bookmarkStart w:id="333" w:name="Tc_REsVkWx4V0Wy3rX9NDNuPQ_17_5"/>
      <w:bookmarkStart w:id="334" w:name="Tc_B1l2UGicoEuSknWsN2y_lg_17_2"/>
      <w:bookmarkStart w:id="335" w:name="Tc_Iu_vro0wDE2vcYY28OHf8g_17_0"/>
      <w:bookmarkStart w:id="336" w:name="Tc_svJ6RqeoNkKWl76Ch7Jz3g_16_11"/>
      <w:bookmarkStart w:id="337" w:name="Tc_0RjexIgBGEeSQpwF1KG00A_16_5"/>
      <w:bookmarkStart w:id="338" w:name="Tc_m9aa6HBDtkem53WxaKWU5g_16_0"/>
      <w:bookmarkStart w:id="339" w:name="Tc_cTZdJJstikm6roH9gummtg_15_11"/>
      <w:bookmarkStart w:id="340" w:name="Tc_7x51ZcFUBEOSCEgOPalxVg_15_5"/>
      <w:bookmarkStart w:id="341" w:name="Tc_FyTXwypfJUeO8oIoxSFPHA_15_2"/>
      <w:bookmarkStart w:id="342" w:name="Tc_qNYuT_J0v0yUFujcrLy_sQ_15_0"/>
      <w:bookmarkStart w:id="343" w:name="Tc_zZFrOXzOM02ekgIjxvA8hQ_14_11"/>
      <w:bookmarkStart w:id="344" w:name="Tc_rMHq65b4nE2vAebgV842KA_14_5"/>
      <w:bookmarkStart w:id="345" w:name="Tc_X_8XEReWA0u8viUzFDAzcw_14_2"/>
      <w:bookmarkStart w:id="346" w:name="Tc_tm3dkAhnu0mmQlNUCZMAYQ_14_0"/>
      <w:bookmarkStart w:id="347" w:name="Tc_HT46S0F3W06auXz1IpsrUw_13_11"/>
      <w:bookmarkStart w:id="348" w:name="Tc_9osyFsPF5kiQgArleNDvFQ_13_0"/>
      <w:bookmarkStart w:id="349" w:name="Tc_objf8ef470mx0PbfTNEzWA_12_13"/>
      <w:bookmarkStart w:id="350" w:name="Tc_ZKP_lLZhIESqPj1XB7J15g_12_10"/>
      <w:bookmarkStart w:id="351" w:name="Tc_TBzxvb05PE2WvmTBQhlxuA_12_7"/>
      <w:bookmarkStart w:id="352" w:name="Tc_9dNd46QYo0OIK9-3cfyPeg_12_4"/>
      <w:bookmarkStart w:id="353" w:name="Tc_ja5-7lUp-E-6LWyyjB3T-A_12_0"/>
      <w:bookmarkStart w:id="354" w:name="Tc_MdDR_6iv3ES_qzgVV8-HSw_11_8"/>
      <w:bookmarkStart w:id="355" w:name="Tc_dbNjIqDv2kiAs3hT-l0V_w_11_5"/>
      <w:bookmarkStart w:id="356" w:name="Tc_3xxpKCOo80ii-qvcNd3qYg_11_2"/>
      <w:bookmarkStart w:id="357" w:name="Tc_3xZ74HQ4kEqGg64m3bM_Eg_11_0"/>
      <w:bookmarkStart w:id="358" w:name="Tc_bh3D_4eFpkqy7yzU6R21Tw_10_11"/>
      <w:bookmarkStart w:id="359" w:name="Tc_5VyUt923rkeGpURm3scfAQ_10_5"/>
      <w:bookmarkStart w:id="360" w:name="Tc_UOvgvjiorkS0KlE7YRna8Q_10_0"/>
      <w:bookmarkStart w:id="361" w:name="Tc_rjoX69MKBE-qFUOlM4YNCg_9_11"/>
      <w:bookmarkStart w:id="362" w:name="Tc_6-3H-lfFXUOQrZ9ry3V5_Q_9_5"/>
      <w:bookmarkStart w:id="363" w:name="Tc_kdfCxEvlfEKgmwQ5eiAUgw_9_2"/>
      <w:bookmarkStart w:id="364" w:name="Tc_9bPBXakztEaPQiRkcxhe-w_9_0"/>
      <w:bookmarkStart w:id="365" w:name="Tc_9OP_ONqxZ0CU42A5aESfxw_8_11"/>
      <w:bookmarkStart w:id="366" w:name="Tc_MMjfVLSH80KE0kYTMVRyRQ_8_5"/>
      <w:bookmarkStart w:id="367" w:name="Tc_rbvGfPFOfUSqEs3VdmdBGg_8_2"/>
      <w:bookmarkStart w:id="368" w:name="Tc_WGL5zsdmM06d9jKpEXNi0g_8_0"/>
      <w:bookmarkStart w:id="369" w:name="Tc_arQlmQiGr0O_rnFXFzIBNQ_7_11"/>
      <w:bookmarkStart w:id="370" w:name="Tc_XdLgAy1AB0erWzWNaaQnzA_7_5"/>
      <w:bookmarkStart w:id="371" w:name="Tc_Ei3fhMyNNUqdoCkHda62ew_7_2"/>
      <w:bookmarkStart w:id="372" w:name="Tc_WWk-8DKvD0GNkWfiPo1UHg_7_0"/>
      <w:bookmarkStart w:id="373" w:name="Tc_dFHtChIYaUuekwqkXQU2Kw_6_11"/>
      <w:bookmarkStart w:id="374" w:name="Tc_87KO1zRueUWpiCT_Oh9qhg_6_5"/>
      <w:bookmarkStart w:id="375" w:name="Tc_SLN2_mgpdUya0VIqAQQqyQ_6_2"/>
      <w:bookmarkStart w:id="376" w:name="Tc_SZhCMBK8rECO1AeY-rdiGg_6_0"/>
      <w:bookmarkStart w:id="377" w:name="Tc_VtDcFmVmj02uD1v6JOGdrw_5_11"/>
      <w:bookmarkStart w:id="378" w:name="Tc_YWDbyYhem0OD6VA1LXPdQw_5_0"/>
      <w:bookmarkStart w:id="379" w:name="Tc_R7qJYF9YakSHSFemWoT1qw_4_13"/>
      <w:bookmarkStart w:id="380" w:name="Tc_tU9uOssH70qEFSeuVl0fug_4_10"/>
      <w:bookmarkStart w:id="381" w:name="Tc_0jSqmD-hwU2OpPNsqfYIBw_4_7"/>
      <w:bookmarkStart w:id="382" w:name="Tc_pp-eQOX7MkKItfzsTpoEzg_4_4"/>
      <w:bookmarkStart w:id="383" w:name="Tc_OsuuJaMsgEC--jYNkslyKQ_4_0"/>
      <w:bookmarkStart w:id="384" w:name="Tc_c1n0CXAUck2LYY2zZeKl3Q_3_13"/>
      <w:bookmarkStart w:id="385" w:name="Tc_LQDCwYlg3kWd9zVISkoiJQ_3_10"/>
      <w:bookmarkStart w:id="386" w:name="Tc_vyIM-YuCq0mIo0UrMYmH-Q_3_7"/>
      <w:bookmarkStart w:id="387" w:name="Tc_bYKsObSdS0-_9GyHXuJUYg_3_4"/>
      <w:bookmarkStart w:id="388" w:name="Tc_mwzZ21aTd0CD0msRZ-cKfg_3_2"/>
      <w:bookmarkStart w:id="389" w:name="Tc_CHXUShmUd0SfLYMlQaowYA_2_10"/>
      <w:bookmarkStart w:id="390" w:name="Tc__RuO_xOjPE-T8qOWPS8J4w_2_7"/>
      <w:bookmarkStart w:id="391" w:name="Tc_xEM2JoKVdUuHBlbBZko6iw_2_2"/>
      <w:bookmarkStart w:id="392" w:name="Tc_2JVkQb9HtkeVkzQYiT9R1Q_1_7"/>
      <w:bookmarkStart w:id="393" w:name="_40fa7b67_9cfc_4dcd_9a63_d1374915c3a8"/>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tbl>
      <w:tblPr>
        <w:tblW w:w="10205" w:type="dxa"/>
        <w:jc w:val="left"/>
        <w:tblInd w:w="0" w:type="dxa"/>
        <w:tblLayout w:type="fixed"/>
        <w:tblCellMar>
          <w:top w:w="0" w:type="dxa"/>
          <w:left w:w="0" w:type="dxa"/>
          <w:bottom w:w="0" w:type="dxa"/>
          <w:right w:w="0" w:type="dxa"/>
        </w:tblCellMar>
      </w:tblPr>
      <w:tblGrid>
        <w:gridCol w:w="3991"/>
        <w:gridCol w:w="346"/>
        <w:gridCol w:w="676"/>
        <w:gridCol w:w="346"/>
        <w:gridCol w:w="261"/>
        <w:gridCol w:w="430"/>
        <w:gridCol w:w="346"/>
        <w:gridCol w:w="211"/>
        <w:gridCol w:w="781"/>
        <w:gridCol w:w="346"/>
        <w:gridCol w:w="211"/>
        <w:gridCol w:w="881"/>
        <w:gridCol w:w="346"/>
        <w:gridCol w:w="211"/>
        <w:gridCol w:w="822"/>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534285" cy="175260"/>
                      <wp:effectExtent l="0" t="0" r="0" b="0"/>
                      <wp:wrapNone/>
                      <wp:docPr id="277" name="Frame27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8"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29260" cy="175260"/>
                      <wp:effectExtent l="0" t="0" r="0" b="0"/>
                      <wp:wrapNone/>
                      <wp:docPr id="279" name="Frame2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0"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5735" cy="175260"/>
                      <wp:effectExtent l="0" t="0" r="0" b="0"/>
                      <wp:wrapNone/>
                      <wp:docPr id="281" name="Frame27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73050" cy="175260"/>
                      <wp:effectExtent l="0" t="0" r="0" b="0"/>
                      <wp:wrapNone/>
                      <wp:docPr id="282" name="Frame278"/>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3"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4"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95935" cy="175260"/>
                      <wp:effectExtent l="0" t="0" r="0" b="0"/>
                      <wp:wrapNone/>
                      <wp:docPr id="285" name="Frame2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6"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7"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59435" cy="175260"/>
                      <wp:effectExtent l="0" t="0" r="0" b="0"/>
                      <wp:wrapNone/>
                      <wp:docPr id="288" name="Frame284"/>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89"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0"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21970" cy="175260"/>
                      <wp:effectExtent l="0" t="0" r="0" b="0"/>
                      <wp:wrapNone/>
                      <wp:docPr id="291" name="Frame287"/>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534,060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(56,508)</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net of offering costs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9,926</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6,156</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stock purchase warrants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Repricing of stock purchase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pre-funded stock purchase warrants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 net of employee tax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(59,599)</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3,102</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557,047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(650,197)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(93,101)</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net of offering costs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19,153</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55,360</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pre-funded stock purchase warrants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 net of employee tax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(69,897)</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22,328</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624,555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(720,094)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(95,463)</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4" w:name="_e859fa20_c8d9_43d9_8b93_ce383c0f1462"/>
      <w:bookmarkEnd w:id="394"/>
      <w:r>
        <w:rPr>
          <w:rFonts w:ascii="Times New Roman;Times;serif" w:hAnsi="Times New Roman;Times;serif"/>
          <w:b/>
          <w:sz w:val="20"/>
        </w:rPr>
        <w:t>BIOXCEL THERAPEUTICS, INC.</w:t>
      </w:r>
    </w:p>
    <w:p>
      <w:pPr>
        <w:pStyle w:val="TextBody"/>
        <w:bidi w:val="0"/>
        <w:spacing w:before="0" w:after="240"/>
        <w:ind w:left="0" w:right="0" w:hanging="0"/>
        <w:jc w:val="center"/>
        <w:rPr>
          <w:rFonts w:ascii="Times New Roman;Times;serif" w:hAnsi="Times New Roman;Times;serif"/>
          <w:b/>
          <w:sz w:val="20"/>
        </w:rPr>
      </w:pPr>
      <w:bookmarkStart w:id="395" w:name="STATEMENTSOFCASHFLOWS_770795"/>
      <w:bookmarkEnd w:id="395"/>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Normal"/>
        <w:bidi w:val="0"/>
        <w:spacing w:before="0" w:after="0"/>
        <w:jc w:val="left"/>
        <w:rPr>
          <w:sz w:val="4"/>
          <w:szCs w:val="4"/>
        </w:rPr>
      </w:pPr>
      <w:r>
        <w:rPr>
          <w:sz w:val="4"/>
          <w:szCs w:val="4"/>
        </w:rPr>
      </w:r>
      <w:bookmarkStart w:id="396" w:name="Tc_23VAuFIWw0qrInz7B1Nhtg_45_5"/>
      <w:bookmarkStart w:id="397" w:name="Tc_m84i5IJpMUOCxKw9Zno8Vg_45_2"/>
      <w:bookmarkStart w:id="398" w:name="Tc_ontKnfl_3ECaneteqmQlfA_45_0"/>
      <w:bookmarkStart w:id="399" w:name="Tc_5mtJt6f23kihoex1BD6myA_44_5"/>
      <w:bookmarkStart w:id="400" w:name="Tc_zenBDd_ykUSvvyOgGfA_cg_44_2"/>
      <w:bookmarkStart w:id="401" w:name="Tc_5rF9QGjomkm0bTDUrGv62w_44_0"/>
      <w:bookmarkStart w:id="402" w:name="Tc_Y2SMMq9agEeS-48P4JJa6A_43_5"/>
      <w:bookmarkStart w:id="403" w:name="Tc_EliPUNVo1Ue0cci-ayBhWg_43_2"/>
      <w:bookmarkStart w:id="404" w:name="Tc_UHSXzgXCMEGkVKnOTm-Zcg_43_0"/>
      <w:bookmarkStart w:id="405" w:name="Tc_ljTiRXqNSkeZV8pp7QxOAA_42_5"/>
      <w:bookmarkStart w:id="406" w:name="Tc_Ai8sbvK91UmmpK3Nwja55A_42_2"/>
      <w:bookmarkStart w:id="407" w:name="Tc_tXmPmQwW0E-J2jfrspSOfQ_42_0"/>
      <w:bookmarkStart w:id="408" w:name="Tc_nyMER6Li8k20dYaIRObVjQ_41_0"/>
      <w:bookmarkStart w:id="409" w:name="Tc_V7Qlw-_9qECVaMGI0ePKxg_39_2"/>
      <w:bookmarkStart w:id="410" w:name="Tc_bmsnVAWg10qtSbWiWtCZ0w_39_0"/>
      <w:bookmarkStart w:id="411" w:name="Tc_C-ZDIaQzA0qnlFgg4EmALQ_38_0"/>
      <w:bookmarkStart w:id="412" w:name="Tc_vB9oYA2lAkePjlocZ1BpNA_37_2"/>
      <w:bookmarkStart w:id="413" w:name="Tc_gLqL1Qnq-k25HcF86lzgNQ_37_0"/>
      <w:bookmarkStart w:id="414" w:name="Tc_-5omQ8-mckuxNvR44kibzQ_36_0"/>
      <w:bookmarkStart w:id="415" w:name="Tc_IcgvbjW7YESkd3xkw2fs6g_34_5"/>
      <w:bookmarkStart w:id="416" w:name="Tc__jbyIDYiX0GFLJaDGtdLTw_34_2"/>
      <w:bookmarkStart w:id="417" w:name="Tc_aB6tQnFq6068rlKV4Iv_1A_34_0"/>
      <w:bookmarkStart w:id="418" w:name="Tc_lBGWgczn7UC11wAxzIk6vg_33_0"/>
      <w:bookmarkStart w:id="419" w:name="Tc_JTQpFlQ8G06I9esdVupddg_32_0"/>
      <w:bookmarkStart w:id="420" w:name="Tc_lr0lg8xbcUGY_1i32rNPVw_30_0"/>
      <w:bookmarkStart w:id="421" w:name="Tc_WeeQr8SMY0yk5PneTuK83Q_29_0"/>
      <w:bookmarkStart w:id="422" w:name="Tc_CcjIcGPUwU2ITeztZgTsKQ_28_0"/>
      <w:bookmarkStart w:id="423" w:name="Tc_3PMwwWtavkGMLTyob5QKMQ_27_0"/>
      <w:bookmarkStart w:id="424" w:name="Tc_x4_kerIgO0miezflZ8v3-Q_26_0"/>
      <w:bookmarkStart w:id="425" w:name="Tc_IUPC36Iom0a-86BD_1_3OA_25_0"/>
      <w:bookmarkStart w:id="426" w:name="Tc_kdqwK6fSkkClTb1zmYpVbg_23_0"/>
      <w:bookmarkStart w:id="427" w:name="Tc_IUd3VgXxFkKa5hO6enWG9w_22_0"/>
      <w:bookmarkStart w:id="428" w:name="Tc_Hl47zuPWu0y9uCfzU10Xng_21_0"/>
      <w:bookmarkStart w:id="429" w:name="Tc_A_SCdw7hnEup4Cjjco5C2A_19_0"/>
      <w:bookmarkStart w:id="430" w:name="Tc_JaYKGD6c1EalzESuLUsPpA_18_0"/>
      <w:bookmarkStart w:id="431" w:name="Tc_RjR4awOXdkOuMoctQ0WKGw_17_0"/>
      <w:bookmarkStart w:id="432" w:name="Tc_42b-c-YilUSMep6Z_aZ5UQ_16_0"/>
      <w:bookmarkStart w:id="433" w:name="Tc_KNNrNQUloECjRsXqJgSH3A_15_0"/>
      <w:bookmarkStart w:id="434" w:name="Tc_IvpWKZ3ntEq8nctLS-EaaQ_14_0"/>
      <w:bookmarkStart w:id="435" w:name="Tc_zc_T-i2QGky6nSf5eSzFfw_13_0"/>
      <w:bookmarkStart w:id="436" w:name="Tc_hELYh_nuzECGH-EAnbL6sg_12_0"/>
      <w:bookmarkStart w:id="437" w:name="Tc_CRHd2xld9UWBff8OnwyLXA_11_0"/>
      <w:bookmarkStart w:id="438" w:name="Tc_An6K1rpe-0KO8jYZnYmDDA_10_0"/>
      <w:bookmarkStart w:id="439" w:name="Tc_BU3FkNpY2kaGBRX41q2Mgg_9_0"/>
      <w:bookmarkStart w:id="440" w:name="Tc_mDrdSJZtkEawRaSgEplTYw_8_0"/>
      <w:bookmarkStart w:id="441" w:name="Tc_252NIwrtCEuOkFx0wpQ5sQ_7_0"/>
      <w:bookmarkStart w:id="442" w:name="Tc_XyKf3nlhUEWP_m41MFJRpg_6_0"/>
      <w:bookmarkStart w:id="443" w:name="Tc_VxBdV5YIvE2EBtqB-hUzag_5_0"/>
      <w:bookmarkStart w:id="444" w:name="Tc_EYsBs48Ya0OoEr0I_wMgrA_4_5"/>
      <w:bookmarkStart w:id="445" w:name="Tc_xwZIzsxUIkCFCeEg-BZBpg_4_2"/>
      <w:bookmarkStart w:id="446" w:name="Tc_un6VIz7e3kS0apjSB7UG_w_4_0"/>
      <w:bookmarkStart w:id="447" w:name="Tc_MtWVTkSN9U6Pf2vJooz6ig_3_0"/>
      <w:bookmarkStart w:id="448" w:name="Tc_dloA0jfF60u5pTf8bzVIXw_2_5"/>
      <w:bookmarkStart w:id="449" w:name="Tc_CAWP-PIy0kqua_6w3XBw4A_2_2"/>
      <w:bookmarkStart w:id="450" w:name="Tc_DK0D2LSuQ06MYu4ykO7Efw_1_2"/>
      <w:bookmarkStart w:id="451" w:name="_df2869d6_2136_4086_83bf_410edcbe9eb5"/>
      <w:bookmarkStart w:id="452" w:name="Tc_23VAuFIWw0qrInz7B1Nhtg_45_5"/>
      <w:bookmarkStart w:id="453" w:name="Tc_m84i5IJpMUOCxKw9Zno8Vg_45_2"/>
      <w:bookmarkStart w:id="454" w:name="Tc_ontKnfl_3ECaneteqmQlfA_45_0"/>
      <w:bookmarkStart w:id="455" w:name="Tc_5mtJt6f23kihoex1BD6myA_44_5"/>
      <w:bookmarkStart w:id="456" w:name="Tc_zenBDd_ykUSvvyOgGfA_cg_44_2"/>
      <w:bookmarkStart w:id="457" w:name="Tc_5rF9QGjomkm0bTDUrGv62w_44_0"/>
      <w:bookmarkStart w:id="458" w:name="Tc_Y2SMMq9agEeS-48P4JJa6A_43_5"/>
      <w:bookmarkStart w:id="459" w:name="Tc_EliPUNVo1Ue0cci-ayBhWg_43_2"/>
      <w:bookmarkStart w:id="460" w:name="Tc_UHSXzgXCMEGkVKnOTm-Zcg_43_0"/>
      <w:bookmarkStart w:id="461" w:name="Tc_ljTiRXqNSkeZV8pp7QxOAA_42_5"/>
      <w:bookmarkStart w:id="462" w:name="Tc_Ai8sbvK91UmmpK3Nwja55A_42_2"/>
      <w:bookmarkStart w:id="463" w:name="Tc_tXmPmQwW0E-J2jfrspSOfQ_42_0"/>
      <w:bookmarkStart w:id="464" w:name="Tc_nyMER6Li8k20dYaIRObVjQ_41_0"/>
      <w:bookmarkStart w:id="465" w:name="Tc_V7Qlw-_9qECVaMGI0ePKxg_39_2"/>
      <w:bookmarkStart w:id="466" w:name="Tc_bmsnVAWg10qtSbWiWtCZ0w_39_0"/>
      <w:bookmarkStart w:id="467" w:name="Tc_C-ZDIaQzA0qnlFgg4EmALQ_38_0"/>
      <w:bookmarkStart w:id="468" w:name="Tc_vB9oYA2lAkePjlocZ1BpNA_37_2"/>
      <w:bookmarkStart w:id="469" w:name="Tc_gLqL1Qnq-k25HcF86lzgNQ_37_0"/>
      <w:bookmarkStart w:id="470" w:name="Tc_-5omQ8-mckuxNvR44kibzQ_36_0"/>
      <w:bookmarkStart w:id="471" w:name="Tc_IcgvbjW7YESkd3xkw2fs6g_34_5"/>
      <w:bookmarkStart w:id="472" w:name="Tc__jbyIDYiX0GFLJaDGtdLTw_34_2"/>
      <w:bookmarkStart w:id="473" w:name="Tc_aB6tQnFq6068rlKV4Iv_1A_34_0"/>
      <w:bookmarkStart w:id="474" w:name="Tc_lBGWgczn7UC11wAxzIk6vg_33_0"/>
      <w:bookmarkStart w:id="475" w:name="Tc_JTQpFlQ8G06I9esdVupddg_32_0"/>
      <w:bookmarkStart w:id="476" w:name="Tc_lr0lg8xbcUGY_1i32rNPVw_30_0"/>
      <w:bookmarkStart w:id="477" w:name="Tc_WeeQr8SMY0yk5PneTuK83Q_29_0"/>
      <w:bookmarkStart w:id="478" w:name="Tc_CcjIcGPUwU2ITeztZgTsKQ_28_0"/>
      <w:bookmarkStart w:id="479" w:name="Tc_3PMwwWtavkGMLTyob5QKMQ_27_0"/>
      <w:bookmarkStart w:id="480" w:name="Tc_x4_kerIgO0miezflZ8v3-Q_26_0"/>
      <w:bookmarkStart w:id="481" w:name="Tc_IUPC36Iom0a-86BD_1_3OA_25_0"/>
      <w:bookmarkStart w:id="482" w:name="Tc_kdqwK6fSkkClTb1zmYpVbg_23_0"/>
      <w:bookmarkStart w:id="483" w:name="Tc_IUd3VgXxFkKa5hO6enWG9w_22_0"/>
      <w:bookmarkStart w:id="484" w:name="Tc_Hl47zuPWu0y9uCfzU10Xng_21_0"/>
      <w:bookmarkStart w:id="485" w:name="Tc_A_SCdw7hnEup4Cjjco5C2A_19_0"/>
      <w:bookmarkStart w:id="486" w:name="Tc_JaYKGD6c1EalzESuLUsPpA_18_0"/>
      <w:bookmarkStart w:id="487" w:name="Tc_RjR4awOXdkOuMoctQ0WKGw_17_0"/>
      <w:bookmarkStart w:id="488" w:name="Tc_42b-c-YilUSMep6Z_aZ5UQ_16_0"/>
      <w:bookmarkStart w:id="489" w:name="Tc_KNNrNQUloECjRsXqJgSH3A_15_0"/>
      <w:bookmarkStart w:id="490" w:name="Tc_IvpWKZ3ntEq8nctLS-EaaQ_14_0"/>
      <w:bookmarkStart w:id="491" w:name="Tc_zc_T-i2QGky6nSf5eSzFfw_13_0"/>
      <w:bookmarkStart w:id="492" w:name="Tc_hELYh_nuzECGH-EAnbL6sg_12_0"/>
      <w:bookmarkStart w:id="493" w:name="Tc_CRHd2xld9UWBff8OnwyLXA_11_0"/>
      <w:bookmarkStart w:id="494" w:name="Tc_An6K1rpe-0KO8jYZnYmDDA_10_0"/>
      <w:bookmarkStart w:id="495" w:name="Tc_BU3FkNpY2kaGBRX41q2Mgg_9_0"/>
      <w:bookmarkStart w:id="496" w:name="Tc_mDrdSJZtkEawRaSgEplTYw_8_0"/>
      <w:bookmarkStart w:id="497" w:name="Tc_252NIwrtCEuOkFx0wpQ5sQ_7_0"/>
      <w:bookmarkStart w:id="498" w:name="Tc_XyKf3nlhUEWP_m41MFJRpg_6_0"/>
      <w:bookmarkStart w:id="499" w:name="Tc_VxBdV5YIvE2EBtqB-hUzag_5_0"/>
      <w:bookmarkStart w:id="500" w:name="Tc_EYsBs48Ya0OoEr0I_wMgrA_4_5"/>
      <w:bookmarkStart w:id="501" w:name="Tc_xwZIzsxUIkCFCeEg-BZBpg_4_2"/>
      <w:bookmarkStart w:id="502" w:name="Tc_un6VIz7e3kS0apjSB7UG_w_4_0"/>
      <w:bookmarkStart w:id="503" w:name="Tc_MtWVTkSN9U6Pf2vJooz6ig_3_0"/>
      <w:bookmarkStart w:id="504" w:name="Tc_dloA0jfF60u5pTf8bzVIXw_2_5"/>
      <w:bookmarkStart w:id="505" w:name="Tc_CAWP-PIy0kqua_6w3XBw4A_2_2"/>
      <w:bookmarkStart w:id="506" w:name="Tc_DK0D2LSuQ06MYu4ykO7Efw_1_2"/>
      <w:bookmarkStart w:id="507" w:name="_df2869d6_2136_4086_83bf_410edcbe9eb5"/>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tbl>
      <w:tblPr>
        <w:tblW w:w="9907" w:type="dxa"/>
        <w:jc w:val="left"/>
        <w:tblInd w:w="0" w:type="dxa"/>
        <w:tblLayout w:type="fixed"/>
        <w:tblCellMar>
          <w:top w:w="0" w:type="dxa"/>
          <w:left w:w="0" w:type="dxa"/>
          <w:bottom w:w="0" w:type="dxa"/>
          <w:right w:w="0" w:type="dxa"/>
        </w:tblCellMar>
      </w:tblPr>
      <w:tblGrid>
        <w:gridCol w:w="7156"/>
        <w:gridCol w:w="346"/>
        <w:gridCol w:w="211"/>
        <w:gridCol w:w="796"/>
        <w:gridCol w:w="346"/>
        <w:gridCol w:w="211"/>
        <w:gridCol w:w="841"/>
      </w:tblGrid>
      <w:tr>
        <w:trPr/>
        <w:tc>
          <w:tcPr>
            <w:tcW w:w="7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544060" cy="175260"/>
                      <wp:effectExtent l="0" t="0" r="0" b="0"/>
                      <wp:wrapNone/>
                      <wp:docPr id="292" name="Frame288"/>
                      <a:graphic xmlns:a="http://schemas.openxmlformats.org/drawingml/2006/main">
                        <a:graphicData uri="http://schemas.microsoft.com/office/word/2010/wordprocessingShape">
                          <wps:wsp>
                            <wps:cNvSpPr txBox="1"/>
                            <wps:spPr>
                              <a:xfrm>
                                <a:off x="0" y="0"/>
                                <a:ext cx="454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3"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4"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05460" cy="175260"/>
                      <wp:effectExtent l="0" t="0" r="0" b="0"/>
                      <wp:wrapNone/>
                      <wp:docPr id="295" name="Frame2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6"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7"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34035" cy="175260"/>
                      <wp:effectExtent l="0" t="0" r="0" b="0"/>
                      <wp:wrapNone/>
                      <wp:docPr id="298" name="Frame29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CASH FLOW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(59,599)</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debt discount and amortization of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(20,180)</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6,156</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Payable-in-kind interest on Credit Agreement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expenses, other current assets and other assets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due to related parties,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(72,027)</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CASH FLOW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Purchases of equipment and leasehold improvements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CASH FLOW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and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39,688</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principal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costs for common stock and warrants issuance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employee tax obligations related to vesting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36,660</w:t>
            </w:r>
          </w:p>
        </w:tc>
      </w:tr>
      <w:tr>
        <w:trPr/>
        <w:tc>
          <w:tcPr>
            <w:tcW w:w="7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(35,367)</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65,221</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end of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29,854</w:t>
            </w:r>
          </w:p>
        </w:tc>
      </w:tr>
      <w:tr>
        <w:trPr/>
        <w:tc>
          <w:tcPr>
            <w:tcW w:w="7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reconciliation: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29,854</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and cash equivalents and restricted cash as presented above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29,854</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stock purchase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Repricing of stock purchase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 liability and related other current assets (Note 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8" w:name="_c17cadef_9cf3_4a05_894e_2778c86037b8"/>
      <w:bookmarkEnd w:id="508"/>
      <w:r>
        <w:rPr>
          <w:rFonts w:ascii="Times New Roman;Times;serif" w:hAnsi="Times New Roman;Times;serif"/>
          <w:b/>
          <w:sz w:val="20"/>
        </w:rPr>
        <w:t>BIOXCEL THERAPEUTICS, INC.</w:t>
      </w:r>
    </w:p>
    <w:p>
      <w:pPr>
        <w:pStyle w:val="TextBody"/>
        <w:bidi w:val="0"/>
        <w:spacing w:before="0" w:after="240"/>
        <w:ind w:left="0" w:right="0" w:hanging="0"/>
        <w:jc w:val="center"/>
        <w:rPr>
          <w:rFonts w:ascii="Times New Roman;Times;serif" w:hAnsi="Times New Roman;Times;serif"/>
          <w:b/>
          <w:sz w:val="20"/>
        </w:rPr>
      </w:pPr>
      <w:bookmarkStart w:id="509" w:name="NOTESTOFINANCIALSTATEMENTS_564668"/>
      <w:bookmarkEnd w:id="509"/>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 and where otherwise noted)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 Nature of the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BioXcel Therapeutics, Inc. (“BTI” or the “Company”) is a biopharmaceutical company built on artificial intelligence (“AI”) approaches to develop transformative medicines in neuroscience and immuno-oncology. The Company is focused on utilizing cutting-edge technology and innovative research to develop high-value therapeutics aimed at transforming patients’ lives. BTI developed a proprietary AI platform to reduce therapeutic development costs and potentially accelerate development timelines. The Company’s approach leverages existing approved drugs and/or clinically evaluated product candidates together with big data and proprietary machine learning algorithms to identify new therapeutic indices. BTI management believes this differentiated approach has proven its potential to reduce the expense and time associated with drug development in diseases with substantial unmet medical needs.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used in these consolidated financial statements, unless otherwise specified or the context otherwise requires, the terms “BioXcel LLC” refers to the Company’s former parent, BioXcel LLC and, its predecessor, BioXcel Corporation. “OnkosXcel” refers to BTI’s wholly owned subsidiary for its advanced immuno-oncology assets, OnkosXcel Therapeutics, LLC.</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On April 6, 2022, BTI announced that the United States (“U.S.”) Food and Drug Administration (“FDA”) approved IGALMI</w:t>
      </w:r>
      <w:r>
        <w:rPr>
          <w:rFonts w:ascii="Times New Roman;Times;serif" w:hAnsi="Times New Roman;Times;serif"/>
          <w:sz w:val="15"/>
        </w:rPr>
        <w:t>®</w:t>
      </w:r>
      <w:r>
        <w:rPr>
          <w:rFonts w:ascii="Times New Roman;Times;serif" w:hAnsi="Times New Roman;Times;serif"/>
          <w:sz w:val="20"/>
        </w:rPr>
        <w:t xml:space="preserve"> (dexmedetomidine or “Dex”) sublingual film for the acute treatment of agitation associated with schizophrenia or bipolar I or II disorder in adults. IGALMI</w:t>
      </w:r>
      <w:r>
        <w:rPr>
          <w:rFonts w:ascii="Times New Roman;Times;serif" w:hAnsi="Times New Roman;Times;serif"/>
          <w:sz w:val="15"/>
        </w:rPr>
        <w:t>®</w:t>
      </w:r>
      <w:r>
        <w:rPr>
          <w:rFonts w:ascii="Times New Roman;Times;serif" w:hAnsi="Times New Roman;Times;serif"/>
          <w:sz w:val="20"/>
        </w:rPr>
        <w:t xml:space="preserve"> is approved to be self-administrated by patients under the supervision of a health care provider. On July 6, 2022, BTI announced that IGALMI</w:t>
      </w:r>
      <w:r>
        <w:rPr>
          <w:rFonts w:ascii="Times New Roman;Times;serif" w:hAnsi="Times New Roman;Times;serif"/>
          <w:sz w:val="15"/>
        </w:rPr>
        <w:t>®</w:t>
      </w:r>
      <w:r>
        <w:rPr>
          <w:rFonts w:ascii="Times New Roman;Times;serif" w:hAnsi="Times New Roman;Times;serif"/>
          <w:sz w:val="20"/>
        </w:rPr>
        <w:t>, was commercially available in doses of 120 and 180 micrograms.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Company’s most advanced neuroscience clinical development program is BXCL501. In indications other than those approved by the FDA as IGALMI</w:t>
      </w:r>
      <w:r>
        <w:rPr>
          <w:rFonts w:ascii="Times New Roman;Times;serif" w:hAnsi="Times New Roman;Times;serif"/>
          <w:sz w:val="15"/>
        </w:rPr>
        <w:t>®</w:t>
      </w:r>
      <w:r>
        <w:rPr>
          <w:rFonts w:ascii="Times New Roman;Times;serif" w:hAnsi="Times New Roman;Times;serif"/>
          <w:sz w:val="20"/>
        </w:rPr>
        <w:t>, BXCL501 is an investigational proprietary, orally dissolving, film formulation of Dex for the treatment of agitation associated with psychiatric and neurological disorders.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BTI was incorporated under the laws of the State of Delaware on March 29, 2017. The Company’s principal office is in New Haven, Connecticut.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accompanying consolidated financial statements include those of the Company and its subsidiaries after elimination of all intercompany accounts and transactions and have been prepared in conformity with United States (“U.S.”) Generally Accepted Accounting Principles (“GAAP”).</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the Company had cash, cash equivalents and restricted cash of $28,757 and an accumulated deficit of $720,094. BTI has incurred substantial net losses and negative cash flows from operating activities in nearly every fiscal period since inception and expects this trend to continue for the foreseeable future. The Company recognized net losses of $69,897 and $59,599 for the years ended December 31, 2025 and 2024, respectively, and had net cash used in operating activities of $57,615 and $72,027 for the years ended December 31, 2025 and 2024, respectively.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Under ASC Topic 205-40, Presentation of Financial Statements - Going Concern, management is required at each reporting period to evaluate whether there are conditions and events, considered in the aggregate, that raise substantial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doubt about an entity’s ability to continue as a going concern within one year after the date that the financial statements are issued.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Company’s history of significant losses, its negative cash flows from operations, its current debt obligations, potential near-term increased covenant-driven amortization payments under its Credit Agreement (as defined in Note 9, Debt and Credit Facilities),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Annual Report on Form 10-K.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This going concern evaluation takes into consideration the potential mitigating effect of management’s Clinical Reprioritization (as defined in Note 4, Restructuring).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Clinical Reprioritization was approved by the Board of Directors on August 8, 2023; however, such plans, including the additional restructuring actions taken in the second and third quarters of 2024, will not mitigate the entity’s ability to continue as a going concern within one year after the date that the financial statements are issued.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accompanying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Debt and Credit Facilities) or other potential sources of debt or equity capital.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pStyle w:val="TextBody"/>
        <w:bidi w:val="0"/>
        <w:spacing w:before="0" w:after="200"/>
        <w:ind w:left="0" w:right="0" w:hanging="0"/>
        <w:jc w:val="left"/>
        <w:rPr/>
      </w:pPr>
      <w:r>
        <w:rPr>
          <w:caps w:val="false"/>
          <w:smallCaps w:val="false"/>
        </w:rPr>
        <w:t>•</w:t>
      </w:r>
      <w:r>
        <w:rPr>
          <w:rFonts w:ascii="Times New Roman;Times;serif" w:hAnsi="Times New Roman;Times;serif"/>
          <w:sz w:val="20"/>
        </w:rPr>
        <w:t>raise funding through the sale of the Company’s equity securities;</w:t>
      </w:r>
    </w:p>
    <w:p>
      <w:pPr>
        <w:pStyle w:val="TextBody"/>
        <w:bidi w:val="0"/>
        <w:spacing w:before="0" w:after="200"/>
        <w:ind w:left="0" w:right="0" w:hanging="0"/>
        <w:jc w:val="left"/>
        <w:rPr/>
      </w:pPr>
      <w:r>
        <w:rPr>
          <w:caps w:val="false"/>
          <w:smallCaps w:val="false"/>
        </w:rPr>
        <w:t>•</w:t>
      </w:r>
      <w:r>
        <w:rPr>
          <w:rFonts w:ascii="Times New Roman;Times;serif" w:hAnsi="Times New Roman;Times;serif"/>
          <w:sz w:val="20"/>
        </w:rPr>
        <w:t>raise funding through third-party investments in or other strategic options for OnkosXcel;</w:t>
      </w:r>
    </w:p>
    <w:p>
      <w:pPr>
        <w:pStyle w:val="TextBody"/>
        <w:bidi w:val="0"/>
        <w:spacing w:before="0" w:after="200"/>
        <w:ind w:left="0" w:right="0" w:hanging="0"/>
        <w:jc w:val="left"/>
        <w:rPr/>
      </w:pPr>
      <w:r>
        <w:rPr>
          <w:caps w:val="false"/>
          <w:smallCaps w:val="false"/>
        </w:rPr>
        <w:t>•</w:t>
      </w:r>
      <w:r>
        <w:rPr>
          <w:rFonts w:ascii="Times New Roman;Times;serif" w:hAnsi="Times New Roman;Times;serif"/>
          <w:sz w:val="20"/>
        </w:rPr>
        <w:t xml:space="preserve">raise funding through debt financing and/or restructuring of its existing OFA Facilities; </w:t>
      </w:r>
    </w:p>
    <w:p>
      <w:pPr>
        <w:pStyle w:val="TextBody"/>
        <w:bidi w:val="0"/>
        <w:spacing w:before="0" w:after="200"/>
        <w:ind w:left="0" w:right="0" w:hanging="0"/>
        <w:jc w:val="left"/>
        <w:rPr/>
      </w:pPr>
      <w:r>
        <w:rPr>
          <w:caps w:val="false"/>
          <w:smallCaps w:val="false"/>
        </w:rPr>
        <w:t>•</w:t>
      </w:r>
      <w:r>
        <w:rPr>
          <w:rFonts w:ascii="Times New Roman;Times;serif" w:hAnsi="Times New Roman;Times;serif"/>
          <w:sz w:val="20"/>
        </w:rPr>
        <w:t>establish collaborations with potential partners to advance the Company’s product pipeline;</w:t>
      </w:r>
    </w:p>
    <w:p>
      <w:pPr>
        <w:pStyle w:val="TextBody"/>
        <w:bidi w:val="0"/>
        <w:spacing w:before="0" w:after="200"/>
        <w:ind w:left="0" w:right="0" w:hanging="0"/>
        <w:jc w:val="left"/>
        <w:rPr/>
      </w:pPr>
      <w:r>
        <w:rPr>
          <w:caps w:val="false"/>
          <w:smallCaps w:val="false"/>
        </w:rPr>
        <w:t>•</w:t>
      </w:r>
      <w:r>
        <w:rPr>
          <w:rFonts w:ascii="Times New Roman;Times;serif" w:hAnsi="Times New Roman;Times;serif"/>
          <w:sz w:val="20"/>
        </w:rPr>
        <w:t>establish collaborations with potential marketing partners;</w:t>
      </w:r>
    </w:p>
    <w:p>
      <w:pPr>
        <w:pStyle w:val="TextBody"/>
        <w:bidi w:val="0"/>
        <w:spacing w:before="0" w:after="200"/>
        <w:ind w:left="0" w:right="0" w:hanging="0"/>
        <w:jc w:val="left"/>
        <w:rPr/>
      </w:pPr>
      <w:r>
        <w:rPr>
          <w:caps w:val="false"/>
          <w:smallCaps w:val="false"/>
        </w:rPr>
        <w:t>•</w:t>
      </w:r>
      <w:r>
        <w:rPr>
          <w:rFonts w:ascii="Times New Roman;Times;serif" w:hAnsi="Times New Roman;Times;serif"/>
          <w:sz w:val="20"/>
        </w:rPr>
        <w:t>reduce overhead and headcount to focus on core priorities; and/or</w:t>
      </w:r>
    </w:p>
    <w:p>
      <w:pPr>
        <w:pStyle w:val="TextBody"/>
        <w:bidi w:val="0"/>
        <w:spacing w:before="0" w:after="200"/>
        <w:ind w:left="0" w:right="0" w:hanging="0"/>
        <w:jc w:val="left"/>
        <w:rPr/>
      </w:pPr>
      <w:r>
        <w:rPr>
          <w:caps w:val="false"/>
          <w:smallCaps w:val="false"/>
        </w:rPr>
        <w:t>•</w:t>
      </w:r>
      <w:r>
        <w:rPr>
          <w:rFonts w:ascii="Times New Roman;Times;serif" w:hAnsi="Times New Roman;Times;serif"/>
          <w:sz w:val="20"/>
        </w:rPr>
        <w:t>any combination of the foregoing.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If the Company is unable to raise capital when needed or on acceptable terms, or if it is unable to procure collaboration arrangements to advance its programs, the Company would be forced to discontinue some of its operations or develop and implement a plan, beyond its Clinical Reprioritization initiatives, to further extend payables, reduce overhead, scale back or cease some or all of its revised operating plan until sufficient additional capital is raised to support further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3. Summary of Significant Accounting Policies</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accordance with U.S. GAAP requires management to make estimates and assumptions that affect amounts reported in the consolidated financial statements and notes thereto. Estimates are used in the following areas, among others: revenue recognition, derivative liabilities, stock-based compensation expense, inventory, accrued expenses and income taxes. Although these estimates are based on the Company’s knowledge of current events and actions it may undertake in the future, actual results may ultimately materially differ from these estimates.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Reverse Stock Split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February 10, 2025, the Company completed a </w:t>
      </w:r>
      <w:r>
        <w:rPr>
          <w:rFonts w:ascii="Times New Roman;Times;serif" w:hAnsi="Times New Roman;Times;serif"/>
          <w:b w:val="false"/>
          <w:i w:val="false"/>
          <w:caps w:val="false"/>
          <w:smallCaps w:val="false"/>
          <w:sz w:val="20"/>
        </w:rPr>
        <w:t>1-for-16</w:t>
      </w:r>
      <w:r>
        <w:rPr>
          <w:rFonts w:ascii="Times New Roman;Times;serif" w:hAnsi="Times New Roman;Times;serif"/>
          <w:sz w:val="20"/>
        </w:rPr>
        <w:t xml:space="preserve"> reverse stock split of its issued and outstanding common stock (the “Reverse Stock Split”). As a result of the Reverse Stock Split, each 16 shares of common stock issued and outstanding immediately prior to February 10, 2025 were automatically converted into one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Reverse Stock Split did not change the par value of the common stock or the authorized number of shares of common stock.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All common share and per-share amounts in this Form 10-K have been retroactively restated to reflect the effect of the Reverse Stock Split.</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considers all highly liquid investments with an original maturity of three months or less at the date of purchase to be cash equivalents. As of December 31, 2025 and 2024,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Restricted Cash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Restricted Cash represents cash required to be set aside as collateral under a letter of credit for our annual Directors and Officers (D&amp;O) insurance premiums which are financed and paid over the next three months. The restriction will lapse when the D&amp;O insurance premiums are paid. </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Accounts Receivable, Net</w:t>
      </w:r>
    </w:p>
    <w:p>
      <w:pPr>
        <w:pStyle w:val="TextBody"/>
        <w:bidi w:val="0"/>
        <w:spacing w:lineRule="auto" w:line="240" w:before="0" w:after="200"/>
        <w:ind w:left="0" w:right="0" w:firstLine="360"/>
        <w:jc w:val="left"/>
        <w:rPr>
          <w:rFonts w:ascii="Liberation Serif" w:hAnsi="Liberation Serif"/>
          <w:sz w:val="24"/>
        </w:rPr>
      </w:pPr>
      <w:r>
        <w:rPr>
          <w:rFonts w:ascii="Times New Roman;Times;serif" w:hAnsi="Times New Roman;Times;serif"/>
          <w:sz w:val="20"/>
        </w:rPr>
        <w:t>Accounts receivable arise from sales of IGALMI</w:t>
      </w:r>
      <w:r>
        <w:rPr>
          <w:rFonts w:ascii="Liberation Serif" w:hAnsi="Liberation Serif"/>
          <w:sz w:val="18"/>
        </w:rPr>
        <w:t>®</w:t>
      </w:r>
      <w:r>
        <w:rPr>
          <w:rFonts w:ascii="Liberation Serif" w:hAnsi="Liberation Serif"/>
          <w:sz w:val="24"/>
        </w:rPr>
        <w:t xml:space="preserve"> </w:t>
      </w:r>
      <w:r>
        <w:rPr>
          <w:rFonts w:ascii="Times New Roman;Times;serif" w:hAnsi="Times New Roman;Times;serif"/>
          <w:sz w:val="20"/>
        </w:rPr>
        <w:t>and represent amounts due from distributors. Payment terms generally range from 30</w:t>
      </w:r>
      <w:r>
        <w:rPr>
          <w:rFonts w:ascii="Liberation Serif" w:hAnsi="Liberation Serif"/>
          <w:sz w:val="24"/>
        </w:rPr>
        <w:t xml:space="preserve"> </w:t>
      </w:r>
      <w:r>
        <w:rPr>
          <w:rFonts w:ascii="Times New Roman;Times;serif" w:hAnsi="Times New Roman;Times;serif"/>
          <w:sz w:val="20"/>
        </w:rPr>
        <w:t>to 75 days</w:t>
      </w:r>
      <w:r>
        <w:rPr>
          <w:rFonts w:ascii="Liberation Serif" w:hAnsi="Liberation Serif"/>
          <w:sz w:val="24"/>
        </w:rPr>
        <w:t xml:space="preserve"> </w:t>
      </w:r>
      <w:r>
        <w:rPr>
          <w:rFonts w:ascii="Times New Roman;Times;serif" w:hAnsi="Times New Roman;Times;serif"/>
          <w:sz w:val="20"/>
        </w:rPr>
        <w:t>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December 31, 2025, the Company determined that an allowance for credit losses was not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b/>
          <w:sz w:val="20"/>
        </w:rPr>
      </w:pPr>
      <w:bookmarkStart w:id="510" w:name="Tc_zhjbmrc0K0OFMNoYKsEeyw_3_0"/>
      <w:bookmarkStart w:id="511" w:name="Tc_EtezyQNqU0GJL179S_pnBA_2_0"/>
      <w:bookmarkStart w:id="512" w:name="Tc_yTyyuGrGmEKzGBTegvY33w_1_1"/>
      <w:bookmarkStart w:id="513" w:name="Tc_jiIwAw3DZUCfIpRoFehMYg_1_0"/>
      <w:bookmarkStart w:id="514" w:name="_0c3ae8bf_0e34_45f9_84ae_7a0727287831"/>
      <w:bookmarkEnd w:id="510"/>
      <w:bookmarkEnd w:id="511"/>
      <w:bookmarkEnd w:id="512"/>
      <w:bookmarkEnd w:id="513"/>
      <w:bookmarkEnd w:id="514"/>
      <w:r>
        <w:rPr>
          <w:rFonts w:ascii="Times New Roman;Times;serif" w:hAnsi="Times New Roman;Times;serif"/>
          <w:b/>
          <w:sz w:val="20"/>
        </w:rPr>
        <w:t>Concentrations of Credit Risk</w:t>
      </w:r>
    </w:p>
    <w:p>
      <w:pPr>
        <w:pStyle w:val="TextBody"/>
        <w:bidi w:val="0"/>
        <w:spacing w:lineRule="auto" w:line="240" w:before="0" w:after="200"/>
        <w:ind w:left="0" w:right="0" w:firstLine="360"/>
        <w:jc w:val="left"/>
        <w:rPr>
          <w:rFonts w:ascii="Liberation Serif" w:hAnsi="Liberation Serif"/>
          <w:sz w:val="20"/>
        </w:rPr>
      </w:pPr>
      <w:r>
        <w:rPr>
          <w:rFonts w:ascii="Times New Roman;Times;serif" w:hAnsi="Times New Roman;Times;serif"/>
          <w:sz w:val="20"/>
        </w:rPr>
        <w:t>The Company sells IGALMI</w:t>
      </w:r>
      <w:r>
        <w:rPr>
          <w:rFonts w:ascii="Times New Roman;Times;serif" w:hAnsi="Times New Roman;Times;serif"/>
          <w:sz w:val="15"/>
        </w:rPr>
        <w:t>®</w:t>
      </w:r>
      <w:r>
        <w:rPr>
          <w:rFonts w:ascii="Liberation Serif" w:hAnsi="Liberation Serif"/>
          <w:sz w:val="20"/>
        </w:rPr>
        <w:t xml:space="preserve"> </w:t>
      </w:r>
      <w:r>
        <w:rPr>
          <w:rFonts w:ascii="Times New Roman;Times;serif" w:hAnsi="Times New Roman;Times;serif"/>
          <w:sz w:val="20"/>
        </w:rPr>
        <w:t>through a drop-ship program under which orders from hospitals and similar health care institutions are processed through wholesalers, but shipments of the product are sent directly to the individual hospitals and similar health care institutions. BTI also contracts directly with intermediaries such as group purchasing organizations (“GPOs”). All trade accounts receivables are due from the distributor that fulfills orders on behalf of the Company. For the years ended December 31, 2025 and 2024, one customer accounted for approximately 8%</w:t>
      </w:r>
      <w:r>
        <w:rPr>
          <w:rFonts w:ascii="Liberation Serif" w:hAnsi="Liberation Serif"/>
          <w:sz w:val="20"/>
        </w:rPr>
        <w:t xml:space="preserve"> </w:t>
      </w:r>
      <w:r>
        <w:rPr>
          <w:rFonts w:ascii="Times New Roman;Times;serif" w:hAnsi="Times New Roman;Times;serif"/>
          <w:sz w:val="20"/>
        </w:rPr>
        <w:t>and 32%</w:t>
      </w:r>
      <w:r>
        <w:rPr>
          <w:rFonts w:ascii="Liberation Serif" w:hAnsi="Liberation Serif"/>
          <w:sz w:val="20"/>
        </w:rPr>
        <w:t xml:space="preserve"> </w:t>
      </w:r>
      <w:r>
        <w:rPr>
          <w:rFonts w:ascii="Times New Roman;Times;serif" w:hAnsi="Times New Roman;Times;serif"/>
          <w:sz w:val="20"/>
        </w:rPr>
        <w:t xml:space="preserve">of the Company’s net product revenue, respectively. </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Inventory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Inventory is stated at the lower of cost or net realizable value. Cost of inventory is determined on a first-in, first-out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Consolidated Statements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will be recorded within Cost of goods sold in the Consolidated Statements of Operations. The determination of whether inventory costs will be realizable requires estimates by management. If actual market conditions are less favorable than projected, write-downs of inventory may be required.</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Property and Equipment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Property and equipment are recorded at cost and depreciated over the shorter of their remaining lease term or their estimated useful life on a straight-line basis as follows:</w:t>
      </w:r>
    </w:p>
    <w:p>
      <w:pPr>
        <w:pStyle w:val="TextBody"/>
        <w:bidi w:val="0"/>
        <w:spacing w:before="0" w:after="0"/>
        <w:ind w:left="0" w:right="0" w:hanging="0"/>
        <w:jc w:val="left"/>
        <w:rPr/>
      </w:pPr>
      <w:r>
        <w:rPr/>
        <w:t>​</w:t>
      </w:r>
    </w:p>
    <w:tbl>
      <w:tblPr>
        <w:tblW w:w="5747" w:type="dxa"/>
        <w:jc w:val="left"/>
        <w:tblInd w:w="0" w:type="dxa"/>
        <w:tblLayout w:type="fixed"/>
        <w:tblCellMar>
          <w:top w:w="0" w:type="dxa"/>
          <w:left w:w="0" w:type="dxa"/>
          <w:bottom w:w="0" w:type="dxa"/>
          <w:right w:w="0" w:type="dxa"/>
        </w:tblCellMar>
      </w:tblPr>
      <w:tblGrid>
        <w:gridCol w:w="2161"/>
        <w:gridCol w:w="3586"/>
      </w:tblGrid>
      <w:tr>
        <w:trPr/>
        <w:tc>
          <w:tcPr>
            <w:tcW w:w="2161" w:type="dxa"/>
            <w:tcBorders/>
            <w:vAlign w:val="center"/>
          </w:tcPr>
          <w:p>
            <w:pPr>
              <w:pStyle w:val="TableContents"/>
              <w:bidi w:val="0"/>
              <w:spacing w:before="0" w:after="0"/>
              <w:ind w:left="0" w:right="0" w:hanging="0"/>
              <w:jc w:val="left"/>
              <w:rPr/>
            </w:pPr>
            <w:r>
              <w:rPr/>
              <w:t>​</w:t>
            </w:r>
          </w:p>
        </w:tc>
        <w:tc>
          <w:tcPr>
            <w:tcW w:w="3586"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 years</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w:t>
            </w:r>
          </w:p>
        </w:tc>
        <w:tc>
          <w:tcPr>
            <w:tcW w:w="3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 years</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58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Lesser of life of improvement or lease term</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Other (income) expense, net in the Consolidated Statements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 </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determines if an arrangement is a lease at inception. Operating leases are included in operating lease right-of-use (“ROU”) assets, other current liabilities, and the long-term portion of operating lease liabilities in the Consolidated Balance Sheets.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ROU assets represent BTI’s right to use an underlying asset for the lease term and lease liabilities represent the Company’s obligation to make lease payments arising from the lease. Operating lease ROU assets and lease liabilities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are recognized at commencement date based on the present value of lease payments over the lease term. The Company uses the implicit rate when readily determinable. As BTI’s leases do not provide an implicit rate, it used an incremental borrowing rate based on the information available at commencement date in determining the present value of lease payments. The operating lease ROU asset also includes any prepaid lease payments made and is reduced by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Debt and Detachable Warrants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then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Times New Roman;Times;serif" w:hAnsi="Times New Roman;Times;serif"/>
          <w:i/>
          <w:sz w:val="20"/>
        </w:rPr>
        <w:t>Derivative Assets and Liabilities</w:t>
      </w:r>
      <w:r>
        <w:rPr>
          <w:rFonts w:ascii="Times New Roman;Times;serif" w:hAnsi="Times New Roman;Times;serif"/>
          <w:sz w:val="20"/>
        </w:rPr>
        <w:t>” section of this Note and as a debt discount.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Derivative Assets and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Derivative assets and liabilities are recorded on the Company`s Consolidated Balance Sheets at their fair value on the date of issuance and are revalued on each balance sheet date until such instruments are settled or expire, with changes in the fair value between reporting periods recorded as other income or expense within Other (income) expense, net in the Consolidated Statements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does not use derivative instruments for speculative purposes or to hedge exposures to cash-flow or market risks. Certain financing facilities entered into by the Company include freestanding financial instruments and/or embedded features that require separate accounting as derivative assets and/or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determining fair value, the Company utilizes valuation techniques that maximize the use of observable inputs and minimize the use of unobservable inputs to the extent possible.</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Due to Related Parties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Due to related parties is comprised of amounts contractually owed for various services provided to the Company from related parties, primarily fees owed to the Board of Directors and its committees.</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Company’s revenues consist of product sales of IGALMI</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BTI recognizes revenue when its customers obtain control of promised goods or services, in an amount that reflects the consideration that the Company expects to receive in exchange for those goods or services. To determine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recognition, BTI management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BTI distributes IGALMI</w:t>
      </w:r>
      <w:r>
        <w:rPr>
          <w:rFonts w:ascii="Times New Roman;Times;serif" w:hAnsi="Times New Roman;Times;serif"/>
          <w:sz w:val="15"/>
        </w:rPr>
        <w:t>®</w:t>
      </w:r>
      <w:r>
        <w:rPr>
          <w:rFonts w:ascii="Times New Roman;Times;serif" w:hAnsi="Times New Roman;Times;serif"/>
          <w:sz w:val="20"/>
        </w:rPr>
        <w:t xml:space="preserve"> in the U.S. through arrangements with a distributor, wholesalers, and GPOs. The distributor and wholesalers help process and fulfill orders from hospitals on the Company’s behalf. The Company believes the hospitals are its customers.</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w:t>
      </w:r>
      <w:r>
        <w:rPr>
          <w:rFonts w:ascii="Times New Roman;Times;serif" w:hAnsi="Times New Roman;Times;serif"/>
          <w:sz w:val="15"/>
        </w:rPr>
        <w:t>®</w:t>
      </w:r>
      <w:r>
        <w:rPr>
          <w:rFonts w:ascii="Times New Roman;Times;serif" w:hAnsi="Times New Roman;Times;serif"/>
          <w:sz w:val="20"/>
        </w:rPr>
        <w:t xml:space="preserve"> is to deliver the quantity of product ordered to the location specified by the customer’s order. The Company records shipping and handling costs associated with delivery of product to its customers within Selling, general and administrative expenses on its Consolidated Statements of Operations. Under the Company’s current product sales arrangements, BTI does not have contract assets (unbilled receivables), as it generally invoices its customer at the time of revenue recognition.</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BTI sells IGALMI</w:t>
      </w:r>
      <w:r>
        <w:rPr>
          <w:rFonts w:ascii="Times New Roman;Times;serif" w:hAnsi="Times New Roman;Times;serif"/>
          <w:sz w:val="15"/>
        </w:rPr>
        <w:t>®</w:t>
      </w:r>
      <w:r>
        <w:rPr>
          <w:rFonts w:ascii="Times New Roman;Times;serif" w:hAnsi="Times New Roman;Times;serif"/>
          <w:sz w:val="20"/>
        </w:rPr>
        <w:t xml:space="preserve"> at wholesale acquisition cost, less any agreed upon discounts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 Calculating these amounts involves estimates and judgments, and the Company reviews these estimates quarterly and records any material adjustments in the period they are identified, which affects net product revenue and earnings in the period such variances occur.</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Trade Discounts and Allowances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Government Rebates</w:t>
      </w:r>
    </w:p>
    <w:p>
      <w:pPr>
        <w:pStyle w:val="TextBody"/>
        <w:bidi w:val="0"/>
        <w:spacing w:lineRule="auto" w:line="240" w:before="0" w:after="0"/>
        <w:ind w:left="0" w:right="0" w:firstLine="360"/>
        <w:jc w:val="left"/>
        <w:rPr>
          <w:rFonts w:ascii="Times New Roman;Times;serif" w:hAnsi="Times New Roman;Times;serif"/>
          <w:sz w:val="20"/>
        </w:rPr>
      </w:pPr>
      <w:r>
        <w:rPr>
          <w:rFonts w:ascii="Times New Roman;Times;serif" w:hAnsi="Times New Roman;Times;serif"/>
          <w:sz w:val="20"/>
        </w:rPr>
        <w:t>IGALMI</w:t>
      </w:r>
      <w:r>
        <w:rPr>
          <w:rFonts w:ascii="Times New Roman;Times;serif" w:hAnsi="Times New Roman;Times;serif"/>
          <w:sz w:val="15"/>
        </w:rPr>
        <w:t>®</w:t>
      </w:r>
      <w:r>
        <w:rPr>
          <w:rFonts w:ascii="Times New Roman;Times;serif" w:hAnsi="Times New Roman;Times;serif"/>
          <w:sz w:val="20"/>
        </w:rPr>
        <w:t xml:space="preserve"> is eligible for purchase by, or qualifies for reimbursement from, Medicaid and other U.S. government programs that are eligible for rebates on the price they pay for the product. To determine the appropriate amount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reserve for these rebates, BTI applies the applicable government discount to these sales, and estimates the portion of total rebates that it anticipates will be claimed. The Company deducts certain government rebates from gross product revenue and accounts receivable at the time it recognizes the related revenue; other government rebates are recognized as an accrued liability at the time BTI recognizes the related revenue.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Chargebacks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Product Returns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BTI classifies all fees paid to the distributor, other than those discussed above and those related to warehouse operations, as Selling, general and administrative expenses on its Consolidated Statements of Operations. Fees paid to the distributor for warehouse operations are classified as Cost of goods sold on BTI’s Consolidated Statements of Operations.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Cost of Goods Sold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Cost of goods sold includes the cost of producing and distributing inventories that are related to product revenues during the respective period. Cost of goods sold also includes costs related to excess or obsolete inventory adjustment charges, as well as costs related to warehouse operations paid to distributors.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measures and recognizes stock-based compensation expense based on estimated fair value for all share-based awards made to employees, non-employee service providers, and directors, including stock options, BTI restricted stock units (“BTI RSUs”), OnkosXcel profit sharing units (“PSUs”), OnkosXcel restricted stock units (“OnkosXcel RSUs”) and BTI performance stock units (“Performance Units”).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stock-based awards are valued at fair value on the date of grant and that fair value is recognized as an expense in the Consolidated Statements of Operations over the requisite service period using the accelerated attribution method. The estimated value of the BTI RSUs and Performance Units is based on the Company’s closing stock price on the grant date. The estimated fair value of OnkosXcel RSUs are based on the OnkosXcel valuation on the grant date. The estimated fair value of stock-options and PSUs was determined using the Black-Scholes pricing model on the date of grant. For awards subject to performance-based vesting conditions, the Company recognizes stock-based compensation expense when the achievement of the performance condition becomes probable.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awards. The Company has elected to account for forfeitures as they occur, by reversing compensation cost when the award is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Research and Development Costs</w:t>
      </w:r>
    </w:p>
    <w:p>
      <w:pPr>
        <w:pStyle w:val="TextBody"/>
        <w:bidi w:val="0"/>
        <w:spacing w:before="0" w:after="200"/>
        <w:ind w:left="0" w:right="0" w:firstLine="360"/>
        <w:jc w:val="left"/>
        <w:rPr>
          <w:rFonts w:ascii="Times New Roman;Times;serif" w:hAnsi="Times New Roman;Times;serif"/>
          <w:b w:val="false"/>
          <w:sz w:val="20"/>
        </w:rPr>
      </w:pPr>
      <w:r>
        <w:rPr>
          <w:rFonts w:ascii="Times New Roman;Times;serif" w:hAnsi="Times New Roman;Times;serif"/>
          <w:b w:val="false"/>
          <w:sz w:val="20"/>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Such estimates are subject to change as additional information becomes available. The Company expenses research and development costs as incurred.</w:t>
      </w:r>
    </w:p>
    <w:p>
      <w:pPr>
        <w:pStyle w:val="TextBody"/>
        <w:bidi w:val="0"/>
        <w:spacing w:before="0" w:after="200"/>
        <w:ind w:left="0" w:right="0" w:firstLine="360"/>
        <w:jc w:val="left"/>
        <w:rPr>
          <w:rFonts w:ascii="Times New Roman;Times;serif" w:hAnsi="Times New Roman;Times;serif"/>
          <w:b w:val="false"/>
          <w:sz w:val="20"/>
        </w:rPr>
      </w:pPr>
      <w:r>
        <w:rPr>
          <w:rFonts w:ascii="Times New Roman;Times;serif" w:hAnsi="Times New Roman;Times;serif"/>
          <w:b w:val="false"/>
          <w:sz w:val="20"/>
        </w:rPr>
        <w:t>Most of the Company’s service providers invoice BTI monthly in arrears for services performed. The Company estimates its accrued expenses as of each balance sheet date in the consolidated financial statements based on facts and circumstances known to management at that time. BTI management periodically confirms the accuracy of the Company’s estimates with the service providers and makes adjustments if necessary.</w:t>
      </w:r>
    </w:p>
    <w:p>
      <w:pPr>
        <w:pStyle w:val="TextBody"/>
        <w:bidi w:val="0"/>
        <w:spacing w:before="0" w:after="200"/>
        <w:ind w:left="0" w:right="0" w:firstLine="360"/>
        <w:jc w:val="left"/>
        <w:rPr>
          <w:rFonts w:ascii="Times New Roman;Times;serif" w:hAnsi="Times New Roman;Times;serif"/>
          <w:b w:val="false"/>
          <w:sz w:val="20"/>
        </w:rPr>
      </w:pPr>
      <w:r>
        <w:rPr>
          <w:rFonts w:ascii="Times New Roman;Times;serif" w:hAnsi="Times New Roman;Times;serif"/>
          <w:b w:val="false"/>
          <w:sz w:val="20"/>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Patent Costs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Costs related to filing and pursuing patent applications are recorded in Selling, general and administrative expenses in the Consolidated Statements of Operations and are expensed as incurred since recoverability of such expenditures is uncertain.</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Fair Value of Financial Instruments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that are accessible at the measurement date for assets or liabilities. The fair value hierarchy gives the highest priority to Level 1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BTI uses an asset and liability approach for financial accounting and reporting of income taxes. Deferred tax assets and liabilities are determined based on temporary differences between financial reporting and tax basis assets and liabilities and are measured by applying enacted rates and laws to taxable years in which differences are expected to be recovered or settled. Further, the effect on deferred tax assets and liabilities of a change in tax rates is recognized in income in the period that the rate changes. A valuation allowance is required when it is “more likely than not” that all or a portion of deferred tax assets will not be realized.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U.S. GAAP prescribes a comprehensive model for how a company should recognize, measure, present and disclose in its financial statements uncertain tax positions that the Company has taken or expects to take on a tax return, including a decision whether to file or not file a return in a particular jurisdiction. The Company’s financial statements reflect expected future tax consequences of such positions presuming the taxing authorities’ full knowledge of the position and all relevant facts.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does not have any unrecognized tax benefits as of December 31, 2025 and 2024. BTI reviews all tax positions to ensure the tax treatment selected is sustainable based on its technical merits and that the position would be sustained if challenged.</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Earnings (Loss) per Share</w:t>
      </w:r>
    </w:p>
    <w:p>
      <w:pPr>
        <w:pStyle w:val="TextBody"/>
        <w:bidi w:val="0"/>
        <w:spacing w:before="0" w:after="20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Earnings (loss) per share (“EPS”) is calculated by dividing net income or loss attributable to common stockholders by the weighted average number of shares of common stock that were outstanding, including pre-funded warrants. Shares of common stock into which the pre-funded warrant may be exercised are considered outstanding for the purposes of computing EPS because the shares may be issued for little or no consideration, are fully vested and are exercisable after the original issuance date.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 </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Segment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 See Note 19, </w:t>
      </w:r>
      <w:r>
        <w:rPr>
          <w:rFonts w:ascii="Times New Roman;Times;serif" w:hAnsi="Times New Roman;Times;serif"/>
          <w:i/>
          <w:sz w:val="20"/>
        </w:rPr>
        <w:t>Segment Information</w:t>
      </w:r>
      <w:r>
        <w:rPr>
          <w:rFonts w:ascii="Times New Roman;Times;serif" w:hAnsi="Times New Roman;Times;serif"/>
          <w:sz w:val="20"/>
        </w:rPr>
        <w:t xml:space="preserve"> for further information</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March 2024, the FASB issued ASU 2024-01, Compensation – Stock Compensation (Topic 718) – Scope application of profit interest and similar awards, which clarifies how an entity determines whether a profits interest or similar award is within the scope of Topic 718 or if it is not a share-based payment arrangement and therefore within the scope of other guidance. ASU 2024-01 is effective for annual periods beginning after December 15, 2024, and interim periods within those annual periods. The Company adopted this accounting standard effective January 1, 2025 and its adoption on a prospective basis did not have a significant impact on our financial statements.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adopted this standard in fiscal year 2025 on a prospective basis and included the required disclosures in Note 16, </w:t>
      </w:r>
      <w:r>
        <w:rPr>
          <w:rFonts w:ascii="Times New Roman;Times;serif" w:hAnsi="Times New Roman;Times;serif"/>
          <w:i/>
          <w:sz w:val="20"/>
        </w:rPr>
        <w:t>Income Taxes</w:t>
      </w:r>
      <w:r>
        <w:rPr>
          <w:rFonts w:ascii="Times New Roman;Times;serif" w:hAnsi="Times New Roman;Times;serif"/>
          <w:sz w:val="20"/>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Accounting Pronouncements effective in future periods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which requires public entities to disclose specified information about certain costs and expenses. ASU 2024-03 is effective for annual periods beginning after December 15, 2026 and interim reporting periods beginning after December 15, 2027, with early adoption permitted. The Company is evaluating the effect of adopting this guidance on its consolidated financial statements.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July 2025, the FASB issued ASU 2025-05, Financial Instruments - Credit Losses (Topic 326): Measurement of Credit Losses for Accounts Receivable and Contract Assets.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yet been issued or made available for issuance. We are currently evaluating the impact of this amendment and do not expect that the adoption of this guidance will have a material impact on our consolidated financial statements and accompanying notes.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4. Restructuring</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On September 17, 2024, the Company reduced its workforce by an additional 28% to extend its cash runway and prioritize clinical development of BXCL501. The Company completed the Clinical Reprioritization in October 2024, paid $475 of the related costs during the first quarter of 2025, and paid the remaining $128 during the second quarter of 2025.</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On April 8, 2025, the Board unanimously approved (i) the payment of a retention bonus to all non-executive employees in the total aggregate amount of $1,522, to be paid in two equal installments and (ii) the issuance of 66 RSUs which fully vest on the one-year anniversary of the grant date. The first installment of the retention bonus was paid on April 30, 2025 and the second installment was paid on September 30, 2025. Each such installment payment is subject to the applicable employee’s continued employment through December 31,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w:t>
      </w:r>
      <w:r>
        <w:rPr>
          <w:rFonts w:ascii="Times New Roman;Times;serif" w:hAnsi="Times New Roman;Times;serif"/>
          <w:sz w:val="20"/>
        </w:rPr>
        <w:t>September 16, 2025, the Company dissolved its operations in the Czech Republic and paid $194 in closure related expenses during the third quarter of 2025.</w:t>
      </w:r>
    </w:p>
    <w:p>
      <w:pPr>
        <w:pStyle w:val="TextBody"/>
        <w:bidi w:val="0"/>
        <w:spacing w:before="0" w:after="240"/>
        <w:ind w:left="0" w:right="0" w:firstLine="360"/>
        <w:jc w:val="left"/>
        <w:rPr>
          <w:shd w:fill="FFFFFF" w:val="clear"/>
        </w:rPr>
      </w:pPr>
      <w:r>
        <w:rPr>
          <w:shd w:fill="FFFFFF" w:val="clear"/>
        </w:rPr>
        <w:t>​</w:t>
      </w:r>
    </w:p>
    <w:p>
      <w:pPr>
        <w:pStyle w:val="TextBody"/>
        <w:bidi w:val="0"/>
        <w:spacing w:before="0" w:after="200"/>
        <w:ind w:left="0" w:right="0" w:hanging="0"/>
        <w:jc w:val="left"/>
        <w:rPr>
          <w:rFonts w:ascii="Times New Roman;Times;serif" w:hAnsi="Times New Roman;Times;serif"/>
          <w:b/>
          <w:sz w:val="20"/>
        </w:rPr>
      </w:pPr>
      <w:bookmarkStart w:id="515" w:name="Tc_pNxCvcoMEUqgVwlMUAlCvQ_7_5"/>
      <w:bookmarkStart w:id="516" w:name="Tc_m1bcaz-v5U21z2-w8_zeAw_7_2"/>
      <w:bookmarkStart w:id="517" w:name="Tc_IxdFyo7o9kiuJcE0v7FDmQ_7_0"/>
      <w:bookmarkStart w:id="518" w:name="Tc_Q17kAz20CEeRk_Qhwq_taA_6_0"/>
      <w:bookmarkStart w:id="519" w:name="Tc_LtLLi7TT1Eutbv9m5TKlmg_5_0"/>
      <w:bookmarkStart w:id="520" w:name="Tc_TdvNvx4VTUK4MA3bkxDaBQ_4_5"/>
      <w:bookmarkStart w:id="521" w:name="Tc_krtrWM35_0qWGVOdP4eW4g_4_2"/>
      <w:bookmarkStart w:id="522" w:name="Tc_FRa2JDyje0yWrFkOLX-8pQ_4_0"/>
      <w:bookmarkStart w:id="523" w:name="Tc_CHRf4WNrh0CK8losDGdzAQ_2_5"/>
      <w:bookmarkStart w:id="524" w:name="Tc_5PYdVI2Bb0Wae9RcedwAKQ_2_2"/>
      <w:bookmarkStart w:id="525" w:name="Tc_IHydZr03QU-LQkw_YPG0Fg_1_5"/>
      <w:bookmarkStart w:id="526" w:name="Tc_gTVSKCmd10yAyu7LHnaPJg_1_2"/>
      <w:bookmarkStart w:id="527" w:name="_43adc588_173f_4edc_96cf_54fa1edbae91"/>
      <w:bookmarkEnd w:id="515"/>
      <w:bookmarkEnd w:id="516"/>
      <w:bookmarkEnd w:id="517"/>
      <w:bookmarkEnd w:id="518"/>
      <w:bookmarkEnd w:id="519"/>
      <w:bookmarkEnd w:id="520"/>
      <w:bookmarkEnd w:id="521"/>
      <w:bookmarkEnd w:id="522"/>
      <w:bookmarkEnd w:id="523"/>
      <w:bookmarkEnd w:id="524"/>
      <w:bookmarkEnd w:id="525"/>
      <w:bookmarkEnd w:id="526"/>
      <w:bookmarkEnd w:id="527"/>
      <w:r>
        <w:rPr>
          <w:rFonts w:ascii="Times New Roman;Times;serif" w:hAnsi="Times New Roman;Times;serif"/>
          <w:b/>
          <w:sz w:val="20"/>
        </w:rPr>
        <w:t>Note 5. Inventory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Inventory consists of the following:</w:t>
      </w:r>
    </w:p>
    <w:p>
      <w:pPr>
        <w:pStyle w:val="TextBody"/>
        <w:bidi w:val="0"/>
        <w:spacing w:before="0" w:after="0"/>
        <w:ind w:left="0" w:right="0" w:hanging="0"/>
        <w:jc w:val="left"/>
        <w:rPr/>
      </w:pPr>
      <w:r>
        <w:rPr/>
        <w:t>​</w:t>
      </w:r>
    </w:p>
    <w:tbl>
      <w:tblPr>
        <w:tblW w:w="4473" w:type="dxa"/>
        <w:jc w:val="left"/>
        <w:tblInd w:w="0" w:type="dxa"/>
        <w:tblLayout w:type="fixed"/>
        <w:tblCellMar>
          <w:top w:w="0" w:type="dxa"/>
          <w:left w:w="0" w:type="dxa"/>
          <w:bottom w:w="0" w:type="dxa"/>
          <w:right w:w="0" w:type="dxa"/>
        </w:tblCellMar>
      </w:tblPr>
      <w:tblGrid>
        <w:gridCol w:w="1456"/>
        <w:gridCol w:w="346"/>
        <w:gridCol w:w="379"/>
        <w:gridCol w:w="761"/>
        <w:gridCol w:w="346"/>
        <w:gridCol w:w="334"/>
        <w:gridCol w:w="851"/>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924560" cy="175260"/>
                      <wp:effectExtent l="0" t="0" r="0" b="0"/>
                      <wp:wrapNone/>
                      <wp:docPr id="299" name="Frame29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0"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40665" cy="175260"/>
                      <wp:effectExtent l="0" t="0" r="0" b="0"/>
                      <wp:wrapNone/>
                      <wp:docPr id="301" name="Frame29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83235" cy="175260"/>
                      <wp:effectExtent l="0" t="0" r="0" b="0"/>
                      <wp:wrapNone/>
                      <wp:docPr id="302" name="Frame298"/>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3"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2090" cy="175260"/>
                      <wp:effectExtent l="0" t="0" r="0" b="0"/>
                      <wp:wrapNone/>
                      <wp:docPr id="304" name="Frame300"/>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40385" cy="175260"/>
                      <wp:effectExtent l="0" t="0" r="0" b="0"/>
                      <wp:wrapNone/>
                      <wp:docPr id="305" name="Frame301"/>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679</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val="false"/>
          <w:sz w:val="20"/>
        </w:rPr>
        <w:t>The Company recorded inventory write-downs due to excess inventory of $108</w:t>
      </w:r>
      <w:r>
        <w:rPr>
          <w:rFonts w:ascii="Times New Roman;Times;serif" w:hAnsi="Times New Roman;Times;serif"/>
          <w:b/>
          <w:sz w:val="20"/>
        </w:rPr>
        <w:t xml:space="preserve"> </w:t>
      </w:r>
      <w:r>
        <w:rPr>
          <w:rFonts w:ascii="Times New Roman;Times;serif" w:hAnsi="Times New Roman;Times;serif"/>
          <w:b w:val="false"/>
          <w:sz w:val="20"/>
        </w:rPr>
        <w:t>and $1,980</w:t>
      </w:r>
      <w:r>
        <w:rPr>
          <w:rFonts w:ascii="Times New Roman;Times;serif" w:hAnsi="Times New Roman;Times;serif"/>
          <w:b/>
          <w:sz w:val="20"/>
        </w:rPr>
        <w:t xml:space="preserve"> </w:t>
      </w:r>
      <w:r>
        <w:rPr>
          <w:rFonts w:ascii="Times New Roman;Times;serif" w:hAnsi="Times New Roman;Times;serif"/>
          <w:b w:val="false"/>
          <w:sz w:val="20"/>
        </w:rPr>
        <w:t xml:space="preserve">for the years ended December 31, 2025 and 2024, respectively. </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28" w:name="Tc_dfwHQydJjES5vaew0DDCoA_9_5"/>
      <w:bookmarkStart w:id="529" w:name="Tc_fooBpFywDEmIARReR8hnnQ_9_2"/>
      <w:bookmarkStart w:id="530" w:name="Tc_EVbpeqo9A0CS63iOVCdHpQ_9_0"/>
      <w:bookmarkStart w:id="531" w:name="Tc_cdIIhYGrlkqLFOaj2HoFnw_8_0"/>
      <w:bookmarkStart w:id="532" w:name="Tc_kt5sYxTsmEyXtLvMDGGtHQ_7_5"/>
      <w:bookmarkStart w:id="533" w:name="Tc_Mm_C4wS7KkuIOz61EQQs9g_7_2"/>
      <w:bookmarkStart w:id="534" w:name="Tc_mLMzl9PL0EKLxiRRZ-ga7g_7_0"/>
      <w:bookmarkStart w:id="535" w:name="Tc_6MEyEagJ60W6Kz95-9S0_A_6_0"/>
      <w:bookmarkStart w:id="536" w:name="Tc_LfxLyvK9X0q5b5tLVugI3g_5_0"/>
      <w:bookmarkStart w:id="537" w:name="Tc_Vbr1wmSQZEqCmGey0KQscg_4_5"/>
      <w:bookmarkStart w:id="538" w:name="Tc_H-fjan099kqIqhga58eiig_4_2"/>
      <w:bookmarkStart w:id="539" w:name="Tc_ZKSXmdBh1Umre8pTssk_zQ_4_0"/>
      <w:bookmarkStart w:id="540" w:name="Tc_6ClxIDixMkyCHdjl_q8Gyw_2_5"/>
      <w:bookmarkStart w:id="541" w:name="Tc_2T63HlmI6Um9gIla4fcRcQ_2_2"/>
      <w:bookmarkStart w:id="542" w:name="Tc_yh66b7M5h0emMXqGHc9URA_1_5"/>
      <w:bookmarkStart w:id="543" w:name="Tc__lwtaPeAFkS3kt26Z2PRdg_1_2"/>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Pr>
          <w:rFonts w:ascii="Times New Roman;Times;serif" w:hAnsi="Times New Roman;Times;serif"/>
          <w:b/>
          <w:sz w:val="20"/>
        </w:rPr>
        <w:t>Note 6. Property and Equipment, net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Property and equipment, net consists of the following:</w:t>
      </w:r>
    </w:p>
    <w:p>
      <w:pPr>
        <w:pStyle w:val="TextBody"/>
        <w:bidi w:val="0"/>
        <w:spacing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2896"/>
        <w:gridCol w:w="346"/>
        <w:gridCol w:w="285"/>
        <w:gridCol w:w="855"/>
        <w:gridCol w:w="346"/>
        <w:gridCol w:w="281"/>
        <w:gridCol w:w="90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838960" cy="175260"/>
                      <wp:effectExtent l="0" t="0" r="0" b="0"/>
                      <wp:wrapNone/>
                      <wp:docPr id="306" name="Frame302"/>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7"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0975" cy="175260"/>
                      <wp:effectExtent l="0" t="0" r="0" b="0"/>
                      <wp:wrapNone/>
                      <wp:docPr id="308" name="Frame30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42925" cy="175260"/>
                      <wp:effectExtent l="0" t="0" r="0" b="0"/>
                      <wp:wrapNone/>
                      <wp:docPr id="309" name="Frame305"/>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0"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78435" cy="175260"/>
                      <wp:effectExtent l="0" t="0" r="0" b="0"/>
                      <wp:wrapNone/>
                      <wp:docPr id="311" name="Frame30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74040" cy="175260"/>
                      <wp:effectExtent l="0" t="0" r="0" b="0"/>
                      <wp:wrapNone/>
                      <wp:docPr id="312" name="Frame30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center"/>
              <w:rPr/>
            </w:pPr>
            <w:r>
              <w:rPr/>
              <w:t>​</w:t>
            </w:r>
          </w:p>
        </w:tc>
        <w:tc>
          <w:tcPr>
            <w:tcW w:w="8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center"/>
              <w:rPr/>
            </w:pPr>
            <w:r>
              <w:rPr/>
              <w:t>​</w:t>
            </w:r>
          </w:p>
        </w:tc>
        <w:tc>
          <w:tcPr>
            <w:tcW w:w="904" w:type="dxa"/>
            <w:tcBorders/>
            <w:vAlign w:val="center"/>
          </w:tcPr>
          <w:p>
            <w:pPr>
              <w:pStyle w:val="TableContents"/>
              <w:bidi w:val="0"/>
              <w:spacing w:before="0" w:after="1"/>
              <w:ind w:left="0" w:right="0" w:hanging="0"/>
              <w:jc w:val="center"/>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Computers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(1,802)</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475</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val="false"/>
          <w:sz w:val="20"/>
        </w:rPr>
        <w:t>Depreciation expense was $300</w:t>
      </w:r>
      <w:r>
        <w:rPr>
          <w:rFonts w:ascii="Times New Roman;Times;serif" w:hAnsi="Times New Roman;Times;serif"/>
          <w:b/>
          <w:sz w:val="20"/>
        </w:rPr>
        <w:t xml:space="preserve"> </w:t>
      </w:r>
      <w:r>
        <w:rPr>
          <w:rFonts w:ascii="Times New Roman;Times;serif" w:hAnsi="Times New Roman;Times;serif"/>
          <w:b w:val="false"/>
          <w:sz w:val="20"/>
        </w:rPr>
        <w:t>and $309</w:t>
      </w:r>
      <w:r>
        <w:rPr>
          <w:rFonts w:ascii="Times New Roman;Times;serif" w:hAnsi="Times New Roman;Times;serif"/>
          <w:b/>
          <w:sz w:val="20"/>
        </w:rPr>
        <w:t xml:space="preserve"> </w:t>
      </w:r>
      <w:r>
        <w:rPr>
          <w:rFonts w:ascii="Times New Roman;Times;serif" w:hAnsi="Times New Roman;Times;serif"/>
          <w:b w:val="false"/>
          <w:sz w:val="20"/>
        </w:rPr>
        <w:t>for the years ended December 31, 2025 and 2024, respectively</w:t>
      </w:r>
      <w:r>
        <w:rPr>
          <w:rFonts w:ascii="Times New Roman;Times;serif" w:hAnsi="Times New Roman;Times;serif"/>
          <w:b/>
          <w:sz w:val="20"/>
        </w:rPr>
        <w:t>.</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bookmarkStart w:id="544" w:name="Tc_2mY6gSE6skiGcxPYnAqfHg_9_5"/>
      <w:bookmarkStart w:id="545" w:name="Tc__ppi16e6Pk2AbVJcVZpZSg_9_2"/>
      <w:bookmarkStart w:id="546" w:name="Tc_VDFaz5Q6_0asE4wITjdBCg_9_0"/>
      <w:bookmarkStart w:id="547" w:name="Tc_-j6ee8W0Ykatj7RXZugx2w_8_3"/>
      <w:bookmarkStart w:id="548" w:name="Tc_vNDh3aDcG0aB22XUJtXbhw_8_0"/>
      <w:bookmarkStart w:id="549" w:name="Tc_3Wq-5ruey0WZEX6j_fb8BA_7_0"/>
      <w:bookmarkStart w:id="550" w:name="Tc_QirxTllOZka6NS2-iORbOA_6_0"/>
      <w:bookmarkStart w:id="551" w:name="Tc_xUHaT_EE6UKkw9T6Of8r3w_5_0"/>
      <w:bookmarkStart w:id="552" w:name="Tc_s8y5uMa4-02T6mAj7NPzTA_4_0"/>
      <w:bookmarkStart w:id="553" w:name="Tc_OgKu8Z8jIUCpIxrKjPvH_A_3_5"/>
      <w:bookmarkStart w:id="554" w:name="Tc_4cOzL0t1nEqVQnFF4OSydQ_3_2"/>
      <w:bookmarkStart w:id="555" w:name="Tc_zO2FWppVt0ygGFgRZCX_gg_3_0"/>
      <w:bookmarkStart w:id="556" w:name="Tc_TardMnLaDEWE_GZKyi18CA_1_5"/>
      <w:bookmarkStart w:id="557" w:name="Tc_mTrcuQXHnU-8tN7Y_D7S7A_1_2"/>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r>
        <w:rPr>
          <w:rFonts w:ascii="Times New Roman;Times;serif" w:hAnsi="Times New Roman;Times;serif"/>
          <w:b/>
          <w:sz w:val="20"/>
        </w:rPr>
        <w:t>Note 7. Accrued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Accrued expenses consist of the following:</w:t>
      </w:r>
    </w:p>
    <w:p>
      <w:pPr>
        <w:pStyle w:val="TextBody"/>
        <w:bidi w:val="0"/>
        <w:spacing w:before="0" w:after="0"/>
        <w:ind w:left="0" w:right="0" w:hanging="0"/>
        <w:jc w:val="left"/>
        <w:rPr/>
      </w:pPr>
      <w:r>
        <w:rPr/>
        <w:t>​</w:t>
      </w:r>
    </w:p>
    <w:tbl>
      <w:tblPr>
        <w:tblW w:w="7475" w:type="dxa"/>
        <w:jc w:val="left"/>
        <w:tblInd w:w="0" w:type="dxa"/>
        <w:tblLayout w:type="fixed"/>
        <w:tblCellMar>
          <w:top w:w="0" w:type="dxa"/>
          <w:left w:w="0" w:type="dxa"/>
          <w:bottom w:w="0" w:type="dxa"/>
          <w:right w:w="0" w:type="dxa"/>
        </w:tblCellMar>
      </w:tblPr>
      <w:tblGrid>
        <w:gridCol w:w="3736"/>
        <w:gridCol w:w="346"/>
        <w:gridCol w:w="405"/>
        <w:gridCol w:w="1096"/>
        <w:gridCol w:w="346"/>
        <w:gridCol w:w="363"/>
        <w:gridCol w:w="1183"/>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372360" cy="175260"/>
                      <wp:effectExtent l="0" t="0" r="0" b="0"/>
                      <wp:wrapNone/>
                      <wp:docPr id="313" name="Frame30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4"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57175" cy="175260"/>
                      <wp:effectExtent l="0" t="0" r="0" b="0"/>
                      <wp:wrapNone/>
                      <wp:docPr id="315" name="Frame311"/>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5960" cy="175260"/>
                      <wp:effectExtent l="0" t="0" r="0" b="0"/>
                      <wp:wrapNone/>
                      <wp:docPr id="316" name="Frame31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7"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30505" cy="175260"/>
                      <wp:effectExtent l="0" t="0" r="0" b="0"/>
                      <wp:wrapNone/>
                      <wp:docPr id="318" name="Frame31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751205" cy="175260"/>
                      <wp:effectExtent l="0" t="0" r="0" b="0"/>
                      <wp:wrapNone/>
                      <wp:docPr id="319" name="Frame315"/>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2,546</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taxes</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restructuring costs</w:t>
            </w:r>
          </w:p>
        </w:tc>
        <w:tc>
          <w:tcPr>
            <w:tcW w:w="346"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5,762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8. Transactions with BioXcel LLC</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entered into a Separation and Shared Services Agreement with BioXcel LLC that took effect on June 30, 2017, as amended and restated thereafter (the “Services Agreement”), pursuant to which BioXcel LLC had agreed to provide the Company with certain intellectual property prosecution and management and research and development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the Services Agreement, the Company had an option, exercisable until December 31, 2024, to enter into a separate collaborative services agreement with BioXcel LLC pursuant to which BioXcel LLC shall perform product identification and related services for us utilizing its EvolverAI. We agreed to pay BioXcel LLC $18 per month from March 13, 2023, to December 31, 2024 in exchange for this option. This option was not exercised. However, BioXcel LLC continues to perform certain administrative services under the terms of the expired contract.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The Company did not exercise our option to renew the agreement for product identification and related services utilizing BioXcel LLC’s EvolverAI. Subsequent to December 31, 2024 no development activity has been carried out by BioXcel LLC and none is contemplated.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558" w:name="Tc_FPyV71FEQUG3anpQev1XKw_6_5"/>
      <w:bookmarkStart w:id="559" w:name="Tc_zo7vakppdEq31gz5lde0MA_6_2"/>
      <w:bookmarkStart w:id="560" w:name="Tc_JUyv-bmpcEKJkMO7rYZBng_6_0"/>
      <w:bookmarkStart w:id="561" w:name="Tc_ee4OcRrHq020JuBOsfKf-Q_5_0"/>
      <w:bookmarkStart w:id="562" w:name="Tc_JwBvEO0Ng0uan07SMgJOiA_4_5"/>
      <w:bookmarkStart w:id="563" w:name="Tc_Mv861i_j70imVSeVOell0w_4_2"/>
      <w:bookmarkStart w:id="564" w:name="Tc_9zGCOyUHn0WoVv4sVfEWqQ_4_0"/>
      <w:bookmarkStart w:id="565" w:name="Tc_C3CIXp7d-EeQGz8smww1SQ_2_5"/>
      <w:bookmarkStart w:id="566" w:name="Tc_Fw1JGHBzzk6Sh-htmVTZ3Q_2_2"/>
      <w:bookmarkStart w:id="567" w:name="Tc_6hg1YiuUbEOs3W0U-07lUQ_1_2"/>
      <w:bookmarkEnd w:id="558"/>
      <w:bookmarkEnd w:id="559"/>
      <w:bookmarkEnd w:id="560"/>
      <w:bookmarkEnd w:id="561"/>
      <w:bookmarkEnd w:id="562"/>
      <w:bookmarkEnd w:id="563"/>
      <w:bookmarkEnd w:id="564"/>
      <w:bookmarkEnd w:id="565"/>
      <w:bookmarkEnd w:id="566"/>
      <w:bookmarkEnd w:id="567"/>
      <w:r>
        <w:rPr>
          <w:rFonts w:ascii="Times New Roman;Times;serif" w:hAnsi="Times New Roman;Times;serif"/>
          <w:sz w:val="20"/>
        </w:rPr>
        <w:t>Service charges recorded under the Services Agreement for the years December 31, 2025 and 2024 were as follows:</w:t>
      </w:r>
    </w:p>
    <w:p>
      <w:pPr>
        <w:pStyle w:val="TextBody"/>
        <w:bidi w:val="0"/>
        <w:spacing w:before="0" w:after="0"/>
        <w:ind w:left="0" w:right="0" w:hanging="0"/>
        <w:jc w:val="left"/>
        <w:rPr/>
      </w:pPr>
      <w:r>
        <w:rPr/>
        <w:t>​</w:t>
      </w:r>
    </w:p>
    <w:tbl>
      <w:tblPr>
        <w:tblW w:w="5118" w:type="dxa"/>
        <w:jc w:val="left"/>
        <w:tblInd w:w="0" w:type="dxa"/>
        <w:tblLayout w:type="fixed"/>
        <w:tblCellMar>
          <w:top w:w="0" w:type="dxa"/>
          <w:left w:w="0" w:type="dxa"/>
          <w:bottom w:w="0" w:type="dxa"/>
          <w:right w:w="0" w:type="dxa"/>
        </w:tblCellMar>
      </w:tblPr>
      <w:tblGrid>
        <w:gridCol w:w="2956"/>
        <w:gridCol w:w="109"/>
        <w:gridCol w:w="264"/>
        <w:gridCol w:w="528"/>
        <w:gridCol w:w="136"/>
        <w:gridCol w:w="264"/>
        <w:gridCol w:w="86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877060" cy="175260"/>
                      <wp:effectExtent l="0" t="0" r="0" b="0"/>
                      <wp:wrapNone/>
                      <wp:docPr id="320" name="Frame316"/>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1"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67640" cy="175260"/>
                      <wp:effectExtent l="0" t="0" r="0" b="0"/>
                      <wp:wrapNone/>
                      <wp:docPr id="322" name="Frame31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35280" cy="175260"/>
                      <wp:effectExtent l="0" t="0" r="0" b="0"/>
                      <wp:wrapNone/>
                      <wp:docPr id="323" name="Frame319"/>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86360" cy="175260"/>
                      <wp:effectExtent l="0" t="0" r="0" b="0"/>
                      <wp:wrapNone/>
                      <wp:docPr id="324" name="Frame320"/>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67640" cy="175260"/>
                      <wp:effectExtent l="0" t="0" r="0" b="0"/>
                      <wp:wrapNone/>
                      <wp:docPr id="325" name="Frame321"/>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46735" cy="175260"/>
                      <wp:effectExtent l="0" t="0" r="0" b="0"/>
                      <wp:wrapNone/>
                      <wp:docPr id="326" name="Frame32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color w:val="0563C1"/>
              </w:rPr>
            </w:pPr>
            <w:r>
              <w:rPr>
                <w:color w:val="0563C1"/>
              </w:rPr>
              <w:t>​</w:t>
            </w:r>
          </w:p>
        </w:tc>
        <w:tc>
          <w:tcPr>
            <w:tcW w:w="109" w:type="dxa"/>
            <w:tcBorders/>
            <w:vAlign w:val="center"/>
          </w:tcPr>
          <w:p>
            <w:pPr>
              <w:pStyle w:val="TableContents"/>
              <w:bidi w:val="0"/>
              <w:spacing w:before="0" w:after="1"/>
              <w:ind w:left="0" w:right="0" w:hanging="0"/>
              <w:jc w:val="left"/>
              <w:rPr/>
            </w:pPr>
            <w:r>
              <w:rPr/>
              <w:t>​</w:t>
            </w:r>
          </w:p>
        </w:tc>
        <w:tc>
          <w:tcPr>
            <w:tcW w:w="20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9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6" w:type="dxa"/>
            <w:tcBorders/>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9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center"/>
              <w:rPr/>
            </w:pPr>
            <w:r>
              <w:rPr/>
              <w:t>​</w:t>
            </w:r>
          </w:p>
        </w:tc>
        <w:tc>
          <w:tcPr>
            <w:tcW w:w="13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center"/>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109"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13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13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13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1,330</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service charges due as of December 31, 2025 and December 31, 2024.</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bookmarkStart w:id="568" w:name="Tc_NWZaUoqtYEOsoXJtutGJwQ_9_5"/>
      <w:bookmarkStart w:id="569" w:name="Tc_JSy8ht1xtkO1F1czOJbYKw_9_2"/>
      <w:bookmarkStart w:id="570" w:name="Tc_x-OzGth-G0OH2V6Fu45Oxg_9_0"/>
      <w:bookmarkStart w:id="571" w:name="Tc_gEijIHJl30eL6d9k-R3-WQ_8_0"/>
      <w:bookmarkStart w:id="572" w:name="Tc_4k06WsRNS0elbtXiNeMH5Q_7_5"/>
      <w:bookmarkStart w:id="573" w:name="Tc_iYQ65X5DIEqLDAFPyP4SIQ_7_2"/>
      <w:bookmarkStart w:id="574" w:name="Tc_IEprfnMoHU63xM5eq9Ifhw_7_0"/>
      <w:bookmarkStart w:id="575" w:name="Tc_DpBiWwGFHkyx2E0IFaScQw_6_0"/>
      <w:bookmarkStart w:id="576" w:name="Tc_zRp8_Q8tGU65BoG7eM4mzQ_5_5"/>
      <w:bookmarkStart w:id="577" w:name="Tc_dEWXAcoWsUCqlQEPJLRRgw_5_2"/>
      <w:bookmarkStart w:id="578" w:name="Tc_nxVvb1E5-kKCcbnKh59-sA_5_0"/>
      <w:bookmarkStart w:id="579" w:name="Tc_SZ24lOLzI0u_eS04UsdGDg_4_0"/>
      <w:bookmarkStart w:id="580" w:name="Tc_pzA44EC__E-zI4XSiJo6Hg_3_5"/>
      <w:bookmarkStart w:id="581" w:name="Tc_STC1u41nG02BZRQ36cB8PQ_3_2"/>
      <w:bookmarkStart w:id="582" w:name="Tc_VBPhURCPikiM3k7mgySY3g_3_0"/>
      <w:bookmarkStart w:id="583" w:name="Tc_d-NQHQhTtEeMT-faOu0lPA_1_5"/>
      <w:bookmarkStart w:id="584" w:name="Tc_3vXCfnt-KE2UC5rg6XwboA_1_2"/>
      <w:bookmarkStart w:id="585" w:name="_5539d5f6_fa3b_4ed0_a750_b08d5e0ea52e"/>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Pr>
          <w:rFonts w:ascii="Times New Roman;Times;serif" w:hAnsi="Times New Roman;Times;serif"/>
          <w:b/>
          <w:sz w:val="20"/>
        </w:rPr>
        <w:t>Note 9. Debt and Credit Facilities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Debt, net of unamortized discounts and financing costs, consists of the following:</w:t>
      </w:r>
    </w:p>
    <w:p>
      <w:pPr>
        <w:pStyle w:val="TextBody"/>
        <w:bidi w:val="0"/>
        <w:spacing w:before="0" w:after="0"/>
        <w:ind w:left="0" w:right="0" w:hanging="0"/>
        <w:jc w:val="left"/>
        <w:rPr/>
      </w:pPr>
      <w:r>
        <w:rPr/>
        <w:t>​</w:t>
      </w:r>
    </w:p>
    <w:tbl>
      <w:tblPr>
        <w:tblW w:w="8318" w:type="dxa"/>
        <w:jc w:val="left"/>
        <w:tblInd w:w="0" w:type="dxa"/>
        <w:tblLayout w:type="fixed"/>
        <w:tblCellMar>
          <w:top w:w="0" w:type="dxa"/>
          <w:left w:w="0" w:type="dxa"/>
          <w:bottom w:w="0" w:type="dxa"/>
          <w:right w:w="0" w:type="dxa"/>
        </w:tblCellMar>
      </w:tblPr>
      <w:tblGrid>
        <w:gridCol w:w="4816"/>
        <w:gridCol w:w="109"/>
        <w:gridCol w:w="319"/>
        <w:gridCol w:w="1182"/>
        <w:gridCol w:w="346"/>
        <w:gridCol w:w="294"/>
        <w:gridCol w:w="1252"/>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058160" cy="175260"/>
                      <wp:effectExtent l="0" t="0" r="0" b="0"/>
                      <wp:wrapNone/>
                      <wp:docPr id="327" name="Frame323"/>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8"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2565" cy="175260"/>
                      <wp:effectExtent l="0" t="0" r="0" b="0"/>
                      <wp:wrapNone/>
                      <wp:docPr id="329" name="Frame32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50570" cy="175260"/>
                      <wp:effectExtent l="0" t="0" r="0" b="0"/>
                      <wp:wrapNone/>
                      <wp:docPr id="330" name="Frame32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1"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86690" cy="175260"/>
                      <wp:effectExtent l="0" t="0" r="0" b="0"/>
                      <wp:wrapNone/>
                      <wp:docPr id="332" name="Frame32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795020" cy="175260"/>
                      <wp:effectExtent l="0" t="0" r="0" b="0"/>
                      <wp:wrapNone/>
                      <wp:docPr id="333" name="Frame32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8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Agreement and Guaranty</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102,319</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102,319</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Payable-in-kind ("PIK") interest</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112,156</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106,722</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premiums, discounts and issuance costs</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109,594</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102,508</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current portion of debt </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(24,931)</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84,663</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102,508</w:t>
            </w:r>
          </w:p>
        </w:tc>
      </w:tr>
    </w:tbl>
    <w:p>
      <w:pPr>
        <w:pStyle w:val="TextBody"/>
        <w:bidi w:val="0"/>
        <w:spacing w:before="0" w:after="0"/>
        <w:ind w:left="0" w:right="0" w:firstLine="360"/>
        <w:jc w:val="left"/>
        <w:rPr/>
      </w:pPr>
      <w:r>
        <w:rPr/>
        <w:t>​</w:t>
      </w:r>
    </w:p>
    <w:p>
      <w:pPr>
        <w:pStyle w:val="TextBody"/>
        <w:bidi w:val="0"/>
        <w:spacing w:lineRule="auto" w:line="240" w:before="0" w:after="200"/>
        <w:ind w:left="0" w:right="0" w:firstLine="360"/>
        <w:jc w:val="left"/>
        <w:rPr>
          <w:rFonts w:ascii="Times New Roman;Times;serif" w:hAnsi="Times New Roman;Times;serif"/>
          <w:sz w:val="20"/>
        </w:rPr>
      </w:pPr>
      <w:r>
        <w:rPr>
          <w:rFonts w:ascii="Times New Roman;Times;serif" w:hAnsi="Times New Roman;Times;serif"/>
          <w:sz w:val="20"/>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Times;serif" w:hAnsi="Times New Roman;Times;serif"/>
          <w:sz w:val="18"/>
        </w:rPr>
        <w:t>®</w:t>
      </w:r>
      <w:r>
        <w:rPr>
          <w:rFonts w:ascii="Times New Roman;Times;serif" w:hAnsi="Times New Roman;Times;serif"/>
          <w:sz w:val="20"/>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pStyle w:val="TextBody"/>
        <w:bidi w:val="0"/>
        <w:spacing w:lineRule="auto" w:line="300" w:before="0" w:after="2"/>
        <w:ind w:left="0" w:right="0" w:firstLine="360"/>
        <w:jc w:val="both"/>
        <w:rPr>
          <w:rFonts w:ascii="Times New Roman;Times;serif" w:hAnsi="Times New Roman;Times;serif"/>
          <w:b/>
          <w:sz w:val="20"/>
        </w:rPr>
      </w:pPr>
      <w:r>
        <w:rPr>
          <w:rFonts w:ascii="Times New Roman;Times;serif" w:hAnsi="Times New Roman;Times;serif"/>
          <w:b/>
          <w:sz w:val="20"/>
        </w:rPr>
        <w:t>Waiver and First Amendment to Credit Agreement and Guaranty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 </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0" w:before="0" w:after="2"/>
        <w:ind w:left="0" w:right="0" w:firstLine="365"/>
        <w:jc w:val="both"/>
        <w:rPr>
          <w:rFonts w:ascii="Times New Roman;Times;serif" w:hAnsi="Times New Roman;Times;serif"/>
          <w:b/>
          <w:sz w:val="20"/>
        </w:rPr>
      </w:pPr>
      <w:r>
        <w:rPr>
          <w:rFonts w:ascii="Times New Roman;Times;serif" w:hAnsi="Times New Roman;Times;serif"/>
          <w:b/>
          <w:sz w:val="20"/>
        </w:rPr>
        <w:t>Second Amendment to Credit Agreement and Guaranty and Termination of the RIFA</w:t>
      </w:r>
    </w:p>
    <w:p>
      <w:pPr>
        <w:pStyle w:val="TextBody"/>
        <w:bidi w:val="0"/>
        <w:spacing w:lineRule="auto" w:line="300"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 First Amendment). As of December 31, 2025, there are no remaining unfunded commitments under the Credit Agreement. The blended effective interest rate on the Tranches A-1 and A-2 as of December 31, 2025 was approximately 15.3%.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remaining tranches may be borrowed at the Company’s option subject to satisfaction of certain conditions, including regulatory and financial milestones. Tranche B of the Credit Agreement is $20,000 and is available upon satisfaction of certain conditions and financial milestones. Tranche B expired on December 31, 2024. Tranche C of the Credit Agreement is $30,000 and is available upon satisfaction of certain conditions, including receipt of certain regulatory and financial milestones met on or before December 31, 2025.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 Tranches C and D expired on December 31, 2025. </w:t>
      </w:r>
    </w:p>
    <w:p>
      <w:pPr>
        <w:pStyle w:val="TextBody"/>
        <w:bidi w:val="0"/>
        <w:spacing w:before="0" w:after="200"/>
        <w:ind w:left="0" w:right="0" w:firstLine="360"/>
        <w:jc w:val="left"/>
        <w:rPr>
          <w:rFonts w:ascii="Times New Roman;Times;serif" w:hAnsi="Times New Roman;Times;serif"/>
          <w:sz w:val="24"/>
        </w:rPr>
      </w:pPr>
      <w:r>
        <w:rPr>
          <w:rFonts w:ascii="Times New Roman;Times;serif" w:hAnsi="Times New Roman;Times;serif"/>
          <w:sz w:val="20"/>
        </w:rPr>
        <w:t xml:space="preserve">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w:t>
      </w:r>
      <w:r>
        <w:rPr>
          <w:rFonts w:ascii="Times New Roman;Times;serif" w:hAnsi="Times New Roman;Times;serif"/>
          <w:b w:val="false"/>
          <w:i w:val="false"/>
          <w:caps w:val="false"/>
          <w:smallCaps w:val="false"/>
          <w:sz w:val="20"/>
        </w:rPr>
        <w:t>SOFR</w:t>
      </w:r>
      <w:r>
        <w:rPr>
          <w:rFonts w:ascii="Times New Roman;Times;serif" w:hAnsi="Times New Roman;Times;serif"/>
          <w:sz w:val="24"/>
        </w:rPr>
        <w:t xml:space="preserve"> </w:t>
      </w:r>
      <w:r>
        <w:rPr>
          <w:rFonts w:ascii="Times New Roman;Times;serif" w:hAnsi="Times New Roman;Times;serif"/>
          <w:sz w:val="20"/>
        </w:rPr>
        <w:t>(but not less than 2.5%</w:t>
      </w:r>
      <w:r>
        <w:rPr>
          <w:rFonts w:ascii="Times New Roman;Times;serif" w:hAnsi="Times New Roman;Times;serif"/>
          <w:sz w:val="24"/>
        </w:rPr>
        <w:t xml:space="preserve"> </w:t>
      </w:r>
      <w:r>
        <w:rPr>
          <w:rFonts w:ascii="Times New Roman;Times;serif" w:hAnsi="Times New Roman;Times;serif"/>
          <w:sz w:val="20"/>
        </w:rPr>
        <w:t>or more than 5.5%) plus 7.5%, payable quarterly. The rate resets every three months based on the current Term SOFR rate. Of such interest, above 8%</w:t>
      </w:r>
      <w:r>
        <w:rPr>
          <w:rFonts w:ascii="Times New Roman;Times;serif" w:hAnsi="Times New Roman;Times;serif"/>
          <w:sz w:val="24"/>
        </w:rPr>
        <w:t xml:space="preserve"> </w:t>
      </w:r>
      <w:r>
        <w:rPr>
          <w:rFonts w:ascii="Times New Roman;Times;serif" w:hAnsi="Times New Roman;Times;serif"/>
          <w:sz w:val="20"/>
        </w:rPr>
        <w:t>per annum is, at the Company’s option, payable in kind by capitalizing and adding such interest to the outstanding principal amount of loans from the first payment date on which such interest is owed through</w:t>
      </w:r>
      <w:r>
        <w:rPr>
          <w:rFonts w:ascii="Times New Roman;Times;serif" w:hAnsi="Times New Roman;Times;serif"/>
          <w:sz w:val="24"/>
        </w:rPr>
        <w:t xml:space="preserve"> </w:t>
      </w:r>
      <w:r>
        <w:rPr>
          <w:rFonts w:ascii="Times New Roman;Times;serif" w:hAnsi="Times New Roman;Times;serif"/>
          <w:sz w:val="20"/>
        </w:rPr>
        <w:t>March 31, 2025, unless, with respect to any payment date, the Company elects to pay all or a portion of such interest in cash. The Company is required to pay a ticking fee equal to 0.75%</w:t>
      </w:r>
      <w:r>
        <w:rPr>
          <w:rFonts w:ascii="Times New Roman;Times;serif" w:hAnsi="Times New Roman;Times;serif"/>
          <w:sz w:val="24"/>
        </w:rPr>
        <w:t xml:space="preserve"> </w:t>
      </w:r>
      <w:r>
        <w:rPr>
          <w:rFonts w:ascii="Times New Roman;Times;serif" w:hAnsi="Times New Roman;Times;serif"/>
          <w:sz w:val="20"/>
        </w:rPr>
        <w:t>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pStyle w:val="TextBody"/>
        <w:bidi w:val="0"/>
        <w:spacing w:lineRule="auto" w:line="300" w:before="0" w:after="2"/>
        <w:ind w:left="0" w:right="0" w:firstLine="365"/>
        <w:jc w:val="both"/>
        <w:rPr>
          <w:rFonts w:ascii="Times New Roman;Times;serif" w:hAnsi="Times New Roman;Times;serif"/>
          <w:b/>
          <w:sz w:val="20"/>
        </w:rPr>
      </w:pPr>
      <w:r>
        <w:rPr>
          <w:rFonts w:ascii="Times New Roman;Times;serif" w:hAnsi="Times New Roman;Times;serif"/>
          <w:b/>
          <w:sz w:val="20"/>
        </w:rPr>
        <w:t>Waiver and Third and Fourth Amendments to Credit Agreement and Guaranty</w:t>
      </w:r>
    </w:p>
    <w:p>
      <w:pPr>
        <w:pStyle w:val="TextBody"/>
        <w:bidi w:val="0"/>
        <w:spacing w:lineRule="auto" w:line="300" w:before="0" w:after="2"/>
        <w:ind w:left="0" w:right="0" w:firstLine="365"/>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w:t>
      </w:r>
      <w:r>
        <w:rPr>
          <w:rFonts w:ascii="Times New Roman;Times;serif" w:hAnsi="Times New Roman;Times;serif"/>
          <w:sz w:val="20"/>
        </w:rPr>
        <w:t xml:space="preserve"> on or before February 20, 2024. The Company did not meet this condition and therefore the Third Amendment did not become effective.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 (i) of the preceding sentence, until May 15, 2024. For the avoidance of doubt, failure to perform clause (ii) of the preceding sentence would constitute an immediate event of default under the Credit Agreement without any cure or grace period.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the Company has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Times;serif" w:hAnsi="Times New Roman;Times;serif"/>
          <w:i/>
          <w:sz w:val="20"/>
        </w:rPr>
        <w:t>Common Stock Financing Activities</w:t>
      </w:r>
      <w:r>
        <w:rPr>
          <w:rFonts w:ascii="Times New Roman;Times;serif" w:hAnsi="Times New Roman;Times;serif"/>
          <w:sz w:val="20"/>
        </w:rPr>
        <w:t xml:space="preserve">, satisfying the April 15, 2024 covenant requirement of the Fourth Amendment. During the third quarter of 2024, the Company received $467 of gross proceeds from the issuance of the Company’s common stock. As of September 30, 2024, the Company had satisfied $30,943 of the $40,000 required to maintain the Minimum Liquidity Amount and the $50,000 gross proceeds requirement. As a result, at September 30, 2024, the Minimum Liquidity Amount increased to $25,000. </w:t>
      </w:r>
    </w:p>
    <w:p>
      <w:pPr>
        <w:pStyle w:val="TextBody"/>
        <w:bidi w:val="0"/>
        <w:spacing w:lineRule="auto" w:line="300" w:before="0" w:after="0"/>
        <w:ind w:left="0" w:right="0" w:firstLine="365"/>
        <w:jc w:val="both"/>
        <w:rPr/>
      </w:pPr>
      <w:r>
        <w:rPr/>
        <w:t>​</w:t>
      </w:r>
    </w:p>
    <w:p>
      <w:pPr>
        <w:pStyle w:val="TextBody"/>
        <w:bidi w:val="0"/>
        <w:spacing w:lineRule="auto" w:line="300" w:before="0" w:after="0"/>
        <w:ind w:left="0" w:right="0" w:firstLine="365"/>
        <w:jc w:val="both"/>
        <w:rPr>
          <w:rFonts w:ascii="Times New Roman;Times;serif" w:hAnsi="Times New Roman;Times;serif"/>
          <w:b/>
          <w:sz w:val="20"/>
        </w:rPr>
      </w:pPr>
      <w:r>
        <w:rPr>
          <w:rFonts w:ascii="Times New Roman;Times;serif" w:hAnsi="Times New Roman;Times;serif"/>
          <w:b/>
          <w:sz w:val="20"/>
        </w:rPr>
        <w:t>Waiver and Fifth Amendment to Credit Agreement and Guaranty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November 21, 2024, the Company entered into the Fifth Amendment to Credit Agreement and Guaranty and First Amendment to Fourth Amendment to Credit Agreement and Guaranty (the “Fifth Amendment”), which amended the Credit Agreement and Guaranty, dated April 19, 2022, by and among the Company, as the borrower, certain subsidiaries of the Company from time to time party thereto as subsidiary guarantors, the lenders party thereto (the “Lenders”), and Oaktree Fund Administration LLC (“OFA”) as administrative agent (as amended by the Waiver and First Amendment to Credit Agreement and Guaranty, dated as of November 13, 2023, the Second Amendment to Credit Agreement and Guaranty and Termination of Revenue Interest Financing Agreement, dated as of December 5, 2023, the Third Amendment to Credit Agreement, dated as of February 12, 2024, and the Fourth Amendment to Credit Agreement and Guaranty, dated as of March 20, 2024 (the “Fourth Amendment”), the “Existing Credit Agreement”).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before November 30, 2024, at least $50,000 in gross cash proceeds from the issuance of its common stock, warrants, and/or pre-funded warrants, and/or in cash and/or non-cash consideration from newly entered-into partnering transactions.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Fifth Amendment includes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 (“Raise 3”). </w:t>
      </w:r>
      <w:r>
        <w:rPr>
          <w:rFonts w:ascii="Times New Roman;Times;serif" w:hAnsi="Times New Roman;Times;serif"/>
          <w:sz w:val="20"/>
          <w:shd w:fill="FFFFFF" w:val="clear"/>
        </w:rPr>
        <w:t>The Company has raised sufficient net proceeds to date to satisfy this requirement.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Fifth Amendment and the required capital raises described in the preceding paragraph, the Lenders agreed to modify the Credit Agreement’s minimum liquidity covenant to require minimum cash liquidity of $7,500 (instead of $25,000) from and after the closing of Raise 1until March 30, 2025. On March 31, 2025, the minimum liquidity amount increased to $10,000 and on September 30, 2025, the minimum liquidity amount increased to $15,000.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Fifth Amendment, the Company paid a one-time amortization payment of $2,500 principal amount, together with accrued and unpaid interest and a portion of the prepayment fee and other fees payable in December 2024. </w:t>
      </w:r>
    </w:p>
    <w:p>
      <w:pPr>
        <w:pStyle w:val="TextBody"/>
        <w:bidi w:val="0"/>
        <w:spacing w:before="0" w:after="200"/>
        <w:ind w:left="0" w:right="0" w:firstLine="360"/>
        <w:jc w:val="left"/>
        <w:rPr>
          <w:rFonts w:ascii="Times New Roman;Times;serif" w:hAnsi="Times New Roman;Times;serif"/>
          <w:sz w:val="24"/>
        </w:rPr>
      </w:pPr>
      <w:r>
        <w:rPr>
          <w:rFonts w:ascii="Times New Roman;Times;serif" w:hAnsi="Times New Roman;Times;serif"/>
          <w:sz w:val="20"/>
        </w:rPr>
        <w:t xml:space="preserve">The Fifth Amendment also modifies the interest rate of the loans provided under the Credit Agreement from a floating rate of Term </w:t>
      </w:r>
      <w:r>
        <w:rPr>
          <w:rFonts w:ascii="Times New Roman;Times;serif" w:hAnsi="Times New Roman;Times;serif"/>
          <w:b w:val="false"/>
          <w:i w:val="false"/>
          <w:caps w:val="false"/>
          <w:smallCaps w:val="false"/>
          <w:sz w:val="20"/>
        </w:rPr>
        <w:t>SOFR</w:t>
      </w:r>
      <w:r>
        <w:rPr>
          <w:rFonts w:ascii="Times New Roman;Times;serif" w:hAnsi="Times New Roman;Times;serif"/>
          <w:sz w:val="24"/>
        </w:rPr>
        <w:t xml:space="preserve"> </w:t>
      </w:r>
      <w:r>
        <w:rPr>
          <w:rFonts w:ascii="Times New Roman;Times;serif" w:hAnsi="Times New Roman;Times;serif"/>
          <w:sz w:val="20"/>
        </w:rPr>
        <w:t>plus 7.50%</w:t>
      </w:r>
      <w:r>
        <w:rPr>
          <w:rFonts w:ascii="Times New Roman;Times;serif" w:hAnsi="Times New Roman;Times;serif"/>
          <w:sz w:val="24"/>
        </w:rPr>
        <w:t xml:space="preserve"> </w:t>
      </w:r>
      <w:r>
        <w:rPr>
          <w:rFonts w:ascii="Times New Roman;Times;serif" w:hAnsi="Times New Roman;Times;serif"/>
          <w:sz w:val="20"/>
        </w:rPr>
        <w:t>per annum, to a fixed rate of 13%</w:t>
      </w:r>
      <w:r>
        <w:rPr>
          <w:rFonts w:ascii="Times New Roman;Times;serif" w:hAnsi="Times New Roman;Times;serif"/>
          <w:sz w:val="24"/>
        </w:rPr>
        <w:t xml:space="preserve"> </w:t>
      </w:r>
      <w:r>
        <w:rPr>
          <w:rFonts w:ascii="Times New Roman;Times;serif" w:hAnsi="Times New Roman;Times;serif"/>
          <w:sz w:val="20"/>
        </w:rPr>
        <w:t>per annum, retroactive to and effective as of September 30, 2024. For the quarterly payment dates ending December 31, 2024, March 31, 2025, and June 30, 2025, the Company will have the ability to make interest payments of up to 10%</w:t>
      </w:r>
      <w:r>
        <w:rPr>
          <w:rFonts w:ascii="Times New Roman;Times;serif" w:hAnsi="Times New Roman;Times;serif"/>
          <w:sz w:val="24"/>
        </w:rPr>
        <w:t xml:space="preserve"> </w:t>
      </w:r>
      <w:r>
        <w:rPr>
          <w:rFonts w:ascii="Times New Roman;Times;serif" w:hAnsi="Times New Roman;Times;serif"/>
          <w:sz w:val="20"/>
        </w:rPr>
        <w:t>per annum “in-kind” by capitalizing and adding such interest to the outstanding principal amount of the loans under the Credit Agreement. In addition, pursuant to the Fifth Amendment, the Company will be required to make quarterly amortization payments equal to 5.0%</w:t>
      </w:r>
      <w:r>
        <w:rPr>
          <w:rFonts w:ascii="Times New Roman;Times;serif" w:hAnsi="Times New Roman;Times;serif"/>
          <w:sz w:val="24"/>
        </w:rPr>
        <w:t xml:space="preserve"> </w:t>
      </w:r>
      <w:r>
        <w:rPr>
          <w:rFonts w:ascii="Times New Roman;Times;serif" w:hAnsi="Times New Roman;Times;serif"/>
          <w:sz w:val="20"/>
        </w:rPr>
        <w:t xml:space="preserve">of the principal amount of funded loans, together with applicable prepayment fees, beginning on March 31, 2026.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Fifth Amendment amends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for its employees or executives during the fiscal years 2024 and 2025 without OFA’s consent or increasing the cash compensation for fiscal year 2025 for certain senior officers of the Company from their compensation for fiscal year 2024. </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Sixth, Seventh, and Eighth Amendment to Credit Agreement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4, 2025, the Company entered into the Sixth Amendment to our Credit Agreement, which extended the deadline to engage an investment banker. The Company subsequently entered into the Seventh and Eighth Amendments on March 12, 2025 and April 22, 2025, respectively, and collectively, these amendments extended the deadline to July 31, 2025. The Company retained an investment banker prior to July 31, 2025.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December 31, 2025, the Company was in compliance with all restrictive and financial covenants under the Credit Agreement.</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Warrants and Equity Investment Right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connection with the closing of the Second Amendment, on the Second Amendment Effective Date, the Company amended and restated the warrants granted to the Lenders on April 19, 2022 to purchase up to 17 shares of the Company’s common stock at an exercise price of $320.6 per share (the “Closing Date Warrants”). Pursuant to the amendment and restatement of the Closing Date Warrants, dated December 5, 2023 (the “Amended and Restated Closing Date Warrants”), the exercise price of the Closing Date Warrants has been reduced to $58.3232 per share. In addition, the Company granted new warrants to the Lenders to purchase up to 4 shares of the Company’s common stock (the “2023 Warrant Shares”) at an exercise price of $58.3232 per share (the “2023 Warrants” and together with the Amended and Restated Closing Date Warrants, the “Warrants”). The Amended and Restated Closing Date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the Company’s common stock issuable under the Warrants (including the Closing Date Warrants and the 2023 Warrants) and Lenders’ Equity Investment Right was 366 as of March 31, 2024.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closing of the Fourth Amendment discussed below, the Company granted new warrants to the Lenders to purchase up to 6 shares of its common stock (the “2024 Warrant Shares”) at an exercise price of $49.1568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 April 19, 2022. Pursuant to the Second Amended and Restated Registration Rights Agreement, the Company agreed to register the 2024 Warrant Shares for resale.</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Fifth Amendment Warrants, Registration Rights Agreement and Equity Investment Right Termination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Closing Date Warrants, 2023 Warrants and the New Warrants for resale. The maximum shares of our common stock issuable under the Closing Date Warrants, the 2023 Warrants and the Lenders’ Equity Investment Right was 366.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connection with the closing of the Fifth Amendment, the Company agreed to, substantially concurrently with the closing of Raise 1, grant new warrants to the Lenders to purchase an aggregate of 313 shares of common stock on the closing date of the Fifth Amendment, at an exercise price of $0.16 per share (the “New Warrants”). During the three months ended June 30, 2025, the Company issued 284 shares of Common Stock in connection with the cashless exercises of the 313 New Warrants.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 and the exercise prices of $58.3232 per share and $49.1568 per share were reduced to $7.68 per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the date of issuance of the New Warrants, the Company agreed to amend and restate its Second Amended and Restated Registration Rights Agreement with the Lenders, dated March 20, 2024. Pursuant to such amendment and restatement (the “Third Amended and Restated Registration Rights Agreement”), the Company will agree to register the shares of common stock issuable under the New Warrants, in addition to all Original Warrants, for resale.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586" w:name="Tc_1s3ebzV1EkudiCW1kgwKYw_7_5"/>
      <w:bookmarkStart w:id="587" w:name="Tc_JY8rmEFankSYA7oSrfdlYQ_7_2"/>
      <w:bookmarkStart w:id="588" w:name="Tc_1xZRE5MG70usrEHiyy-RAw_7_0"/>
      <w:bookmarkStart w:id="589" w:name="Tc_C8KayLCZx02be7k39DUvOQ_6_0"/>
      <w:bookmarkStart w:id="590" w:name="Tc_F4OTJoHVpU6shCORqHBIug_5_5"/>
      <w:bookmarkStart w:id="591" w:name="Tc_kPy_LpxkYEWt3TJQ4LVYBg_5_2"/>
      <w:bookmarkStart w:id="592" w:name="Tc_ERn7inYAVk6AG7EZuuf3mw_5_0"/>
      <w:bookmarkStart w:id="593" w:name="Tc_HIQfj43hJEeQ1bIP-iXjSQ_3_5"/>
      <w:bookmarkStart w:id="594" w:name="Tc_OZ8kK_kcb0WVkHOjygn66A_3_2"/>
      <w:bookmarkStart w:id="595" w:name="Tc_y9m72XcM-USUqTvbxvg-uQ_2_2"/>
      <w:bookmarkStart w:id="596" w:name="Tc_4UyKvVaa0Uyh5Tds_r4Pig_1_2"/>
      <w:bookmarkStart w:id="597" w:name="_e384deda_270c_4c3d_b742_581205ab41a6"/>
      <w:bookmarkStart w:id="598" w:name="Tc_AzxVzBFj6EGw_eevVUjfpw_5_2"/>
      <w:bookmarkStart w:id="599" w:name="Tc_jBR6gafjVk-oJrwEZoe64Q_5_0"/>
      <w:bookmarkStart w:id="600" w:name="Tc_uVAPA7swoEmsmkM3Fr63Yw_4_2"/>
      <w:bookmarkStart w:id="601" w:name="Tc_0UXndCO6NE-giIZ6rej3Ug_4_0"/>
      <w:bookmarkStart w:id="602" w:name="Tc_4reckyLkt021JjI28J8S5g_3_2"/>
      <w:bookmarkStart w:id="603" w:name="Tc_yoOQ1H4wJEyquwWaqlxrAw_3_0"/>
      <w:bookmarkStart w:id="604" w:name="Tc_5ng_YfqUzkuKk6Nz5ACe4g_1_2"/>
      <w:bookmarkStart w:id="605" w:name="_6c5fc411_4b95_43c2_b8a5_527345c8e46a"/>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Pr>
          <w:rFonts w:ascii="Times New Roman;Times;serif" w:hAnsi="Times New Roman;Times;serif"/>
          <w:sz w:val="20"/>
        </w:rPr>
        <w:t>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Maturities of long-term debt are expected to be as follows:</w:t>
      </w:r>
    </w:p>
    <w:p>
      <w:pPr>
        <w:pStyle w:val="TextBody"/>
        <w:bidi w:val="0"/>
        <w:spacing w:before="0" w:after="0"/>
        <w:ind w:left="0" w:right="0" w:hanging="0"/>
        <w:jc w:val="left"/>
        <w:rPr/>
      </w:pPr>
      <w:r>
        <w:rPr/>
        <w:t>​</w:t>
      </w:r>
    </w:p>
    <w:tbl>
      <w:tblPr>
        <w:tblW w:w="2601" w:type="dxa"/>
        <w:jc w:val="left"/>
        <w:tblInd w:w="0" w:type="dxa"/>
        <w:tblLayout w:type="fixed"/>
        <w:tblCellMar>
          <w:top w:w="0" w:type="dxa"/>
          <w:left w:w="0" w:type="dxa"/>
          <w:bottom w:w="0" w:type="dxa"/>
          <w:right w:w="0" w:type="dxa"/>
        </w:tblCellMar>
      </w:tblPr>
      <w:tblGrid>
        <w:gridCol w:w="946"/>
        <w:gridCol w:w="109"/>
        <w:gridCol w:w="350"/>
        <w:gridCol w:w="11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00710" cy="175260"/>
                      <wp:effectExtent l="0" t="0" r="0" b="0"/>
                      <wp:wrapNone/>
                      <wp:docPr id="334" name="Frame33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5"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22250" cy="175260"/>
                      <wp:effectExtent l="0" t="0" r="0" b="0"/>
                      <wp:wrapNone/>
                      <wp:docPr id="336" name="Frame33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759460" cy="175260"/>
                      <wp:effectExtent l="0" t="0" r="0" b="0"/>
                      <wp:wrapNone/>
                      <wp:docPr id="337" name="Frame333"/>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left"/>
              <w:rPr/>
            </w:pPr>
            <w:r>
              <w:rPr/>
              <w:t>​</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87,225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expense was as follows:</w:t>
      </w:r>
    </w:p>
    <w:p>
      <w:pPr>
        <w:pStyle w:val="TextBody"/>
        <w:bidi w:val="0"/>
        <w:spacing w:before="0" w:after="0"/>
        <w:ind w:left="0" w:right="0" w:hanging="0"/>
        <w:jc w:val="left"/>
        <w:rPr/>
      </w:pPr>
      <w:r>
        <w:rPr/>
        <w:t>​</w:t>
      </w:r>
    </w:p>
    <w:tbl>
      <w:tblPr>
        <w:tblW w:w="7298" w:type="dxa"/>
        <w:jc w:val="left"/>
        <w:tblInd w:w="0" w:type="dxa"/>
        <w:tblLayout w:type="fixed"/>
        <w:tblCellMar>
          <w:top w:w="0" w:type="dxa"/>
          <w:left w:w="0" w:type="dxa"/>
          <w:bottom w:w="0" w:type="dxa"/>
          <w:right w:w="0" w:type="dxa"/>
        </w:tblCellMar>
      </w:tblPr>
      <w:tblGrid>
        <w:gridCol w:w="5191"/>
        <w:gridCol w:w="109"/>
        <w:gridCol w:w="211"/>
        <w:gridCol w:w="676"/>
        <w:gridCol w:w="109"/>
        <w:gridCol w:w="211"/>
        <w:gridCol w:w="791"/>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296285" cy="175260"/>
                      <wp:effectExtent l="0" t="0" r="0" b="0"/>
                      <wp:wrapNone/>
                      <wp:docPr id="338" name="Frame334"/>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39" name="Frame3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0"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29260" cy="175260"/>
                      <wp:effectExtent l="0" t="0" r="0" b="0"/>
                      <wp:wrapNone/>
                      <wp:docPr id="341" name="Frame3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2"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3"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02285" cy="175260"/>
                      <wp:effectExtent l="0" t="0" r="0" b="0"/>
                      <wp:wrapNone/>
                      <wp:docPr id="344" name="Frame34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5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14,662</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debt discount and amortization of financing costs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15,129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Derivative Financial Instruments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Consolidated Balance Sheets. The respective derivative liabilities are recorded at fair value on the date of issuance and are revalued on each balance sheet date until such instruments are settled or expire, with changes in the fair value between reporting periods recorded within Other (income) expense, net in the Company’s Consolidated Statements of Operations. As discussed in Note 9, </w:t>
      </w:r>
      <w:r>
        <w:rPr>
          <w:rFonts w:ascii="Times New Roman;Times;serif" w:hAnsi="Times New Roman;Times;serif"/>
          <w:i/>
          <w:sz w:val="20"/>
        </w:rPr>
        <w:t>Debt and Credit Facilities</w:t>
      </w:r>
      <w:r>
        <w:rPr>
          <w:rFonts w:ascii="Times New Roman;Times;serif" w:hAnsi="Times New Roman;Times;serif"/>
          <w:sz w:val="20"/>
        </w:rPr>
        <w:t xml:space="preserve">, the Equity Investment Right was terminated on November 25, 2024 in connection with the Fifth Amendment to the Credit Agreement. The Company recorded the termination gain of $1,263 within Other (income) expense, net in the Company’s Consolidated Statements of Operations for the carrying value of the Equity Investment Right. </w:t>
      </w:r>
    </w:p>
    <w:p>
      <w:pPr>
        <w:pStyle w:val="TextBody"/>
        <w:bidi w:val="0"/>
        <w:spacing w:before="0" w:after="0"/>
        <w:ind w:left="0" w:right="0" w:firstLine="360"/>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With respect to the Purchase Agreement discussed in Note 11, </w:t>
      </w:r>
      <w:r>
        <w:rPr>
          <w:rFonts w:ascii="Times New Roman;Times;serif" w:hAnsi="Times New Roman;Times;serif"/>
          <w:i/>
          <w:sz w:val="20"/>
        </w:rPr>
        <w:t>Common Stock Financing Activities</w:t>
      </w:r>
      <w:r>
        <w:rPr>
          <w:rFonts w:ascii="Times New Roman;Times;serif" w:hAnsi="Times New Roman;Times;serif"/>
          <w:sz w:val="20"/>
        </w:rPr>
        <w:t xml:space="preserve">,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 Derivative liabilities in the Consolidated Balance Sheet as of December 31, 2025.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Consolidated Statements of Operations. We value the Accompanying Warrants using the Black-Scholes option pricing model as discussed in Note 14, </w:t>
      </w:r>
      <w:r>
        <w:rPr>
          <w:rFonts w:ascii="Times New Roman;Times;serif" w:hAnsi="Times New Roman;Times;serif"/>
          <w:i/>
          <w:sz w:val="20"/>
        </w:rPr>
        <w:t>Fair measurements</w:t>
      </w:r>
      <w:r>
        <w:rPr>
          <w:rFonts w:ascii="Times New Roman;Times;serif" w:hAnsi="Times New Roman;Times;serif"/>
          <w:sz w:val="20"/>
        </w:rPr>
        <w:t xml:space="preserve">. </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November 21, 2024, the exercise price of 534 of the Accompanying Warrants was reduced from $51.20 to $9.136 per share. As a result of the repricing, the Company recorded the increase in fair value of $1,000 as an increase to the carrying value of Derivative liabilities, and as a loss in Other (income) expense, net, in the Company’s Consolidated Statements of Operations. For the years ended December 31, 2025 and 2024, the Company recorded total net gains of $1,818 and $17,027, respectively (including the $1,000 repricing loss in 2024), in Other (income) expense, net,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Company’s Consolidated Statements of Operations. As of December 31, 2025, the fair value of the Accompanying Warrants was $502.</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November 25, 2024, with respect to the Underwriter Agreement discussed in Note 11, </w:t>
      </w:r>
      <w:r>
        <w:rPr>
          <w:rFonts w:ascii="Times New Roman;Times;serif" w:hAnsi="Times New Roman;Times;serif"/>
          <w:i/>
          <w:sz w:val="20"/>
        </w:rPr>
        <w:t>Common Stock Financing Activities</w:t>
      </w:r>
      <w:r>
        <w:rPr>
          <w:rFonts w:ascii="Times New Roman;Times;serif" w:hAnsi="Times New Roman;Times;serif"/>
          <w:sz w:val="20"/>
        </w:rPr>
        <w:t>, the Company issued additional warrants (the “November 2024 Accompanying Warrants”). The November 2024 Accompanying Warrants failed to meet the requirements to be indexed to equity and equity classified, and meet the definition of a derivative instrument. Therefore, these instruments are recorded as Derivative liabilities in the Consolidated Balance Sheet as of December 31, 2025. The respective derivative liabilities were recorded at fair value on the date of issuance in the amount of $5,562 and are revalued on each balance sheet date until such instruments are settled or expire, with changes in the fair value between reporting periods recorded within Other (income) expense, net in the Company’s Consolidated Statements of Operations. For the years ended December 31, 2025 and 2024, the Company recorded total net gains of $3,339 and $1,289, respectively, in Other (income) expense, net, in the Company’s Consolidated Statements of Operations. As of December 31, 2025, the fair value of the November 2024 Accompanying Warrants was $934.</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March 3, 2025, with respect to the March 2025 Offering discussed in Note 11, </w:t>
      </w:r>
      <w:r>
        <w:rPr>
          <w:rFonts w:ascii="Times New Roman;Times;serif" w:hAnsi="Times New Roman;Times;serif"/>
          <w:i/>
          <w:sz w:val="20"/>
        </w:rPr>
        <w:t>Common Stock Financing Activities</w:t>
      </w:r>
      <w:r>
        <w:rPr>
          <w:rFonts w:ascii="Times New Roman;Times;serif" w:hAnsi="Times New Roman;Times;serif"/>
          <w:sz w:val="20"/>
        </w:rPr>
        <w:t xml:space="preserve">, the Company issued additional warrants (the “March 2025 Accompanying Warrants”). The March 2025 Accompanying Warrants failed to meet the requirements to be indexed to equity and equity classified, and meet the definition of a derivative instrument. Therefore, these instruments are recorded as Derivative liabilities in the Consolidated Balance Sheet as of December 31, 2025. The respective derivative liabilities were recorded at fair value on the date of issuance in the amount of $2,831 and are revalued on each balance sheet date until such instruments are settled or expire, with changes in the fair value between reporting periods recorded within Other (income) expense, net in the Company’s Consolidated Statements of Operations. In August 2025, 2,300 of the March 2025 Accompanying Warrants were exercised. In connection with the exercise, the Company remeasured the fair value of the warrant liability, resulting in a recognized net loss of $9,920 recorded in Other (income) expense, net in the Company’s Consolidated Statements of Operations. As of December 31, 2025, the fair value of the remaining 1,700 March 2025 Accompanying Warrants was $354. For the year ended December 31, 2025, the Company recorded a net gain of $849 for the remaining warrants in Other (income) expense, net, in the Company’s Consolidated Statements of Operations. </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In connection with the March 2025 Offering discussed in Note 11, </w:t>
      </w:r>
      <w:r>
        <w:rPr>
          <w:rFonts w:ascii="Times New Roman;Times;serif" w:hAnsi="Times New Roman;Times;serif"/>
          <w:i/>
          <w:sz w:val="20"/>
        </w:rPr>
        <w:t>Common Stock Financing Activities</w:t>
      </w:r>
      <w:r>
        <w:rPr>
          <w:rFonts w:ascii="Times New Roman;Times;serif" w:hAnsi="Times New Roman;Times;serif"/>
          <w:sz w:val="20"/>
        </w:rPr>
        <w:t>, the Company also issued option warrants (the “Option Warrants”). The Option Warrants failed to meet the requirements to be indexed to equity and equity classified, and meet the definition of a derivative instrument. Therefore, these instruments are initially recorded as Derivative liabilities. The respective derivative liabilities were recorded at fair value on the date of issuance in the amount of $369. The Option Warrants expired on March 18, 2025 without being exercised, and the Company recorded a termination gain of $369 in Other (income) expense, net, in the Company’s Condensed Consolidated Statements of Operations. As of December 31, 2025, the fair value of the Option Warrants was $0.</w:t>
      </w:r>
    </w:p>
    <w:p>
      <w:pPr>
        <w:pStyle w:val="TextBody"/>
        <w:bidi w:val="0"/>
        <w:spacing w:before="0" w:after="0"/>
        <w:ind w:left="0" w:right="0" w:firstLine="446"/>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11. Common Stock Financing Activities</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Jeffries At-the-Market Program</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val="false"/>
          <w:sz w:val="20"/>
        </w:rPr>
        <w:t>In May 2021, the Company entered into</w:t>
      </w:r>
      <w:r>
        <w:rPr>
          <w:rFonts w:ascii="Times New Roman;Times;serif" w:hAnsi="Times New Roman;Times;serif"/>
          <w:b/>
          <w:sz w:val="20"/>
        </w:rPr>
        <w:t xml:space="preserve"> </w:t>
      </w:r>
      <w:r>
        <w:rPr>
          <w:rFonts w:ascii="Times New Roman;Times;serif" w:hAnsi="Times New Roman;Times;serif"/>
          <w:b w:val="false"/>
          <w:sz w:val="20"/>
        </w:rPr>
        <w:t>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On March 26, 2025, the Company and Jefferies terminated that certain Open Market Sales Agreement.</w:t>
      </w:r>
      <w:r>
        <w:rPr>
          <w:rFonts w:ascii="Times New Roman;Times;serif" w:hAnsi="Times New Roman;Times;serif"/>
          <w:b/>
          <w:sz w:val="20"/>
        </w:rPr>
        <w:t xml:space="preserve"> </w:t>
      </w:r>
      <w:r>
        <w:rPr>
          <w:rFonts w:ascii="Times New Roman;Times;serif" w:hAnsi="Times New Roman;Times;serif"/>
          <w:b w:val="false"/>
          <w:sz w:val="20"/>
        </w:rPr>
        <w:t>There have been no</w:t>
      </w:r>
      <w:r>
        <w:rPr>
          <w:rFonts w:ascii="Times New Roman;Times;serif" w:hAnsi="Times New Roman;Times;serif"/>
          <w:b/>
          <w:sz w:val="20"/>
        </w:rPr>
        <w:t xml:space="preserve"> </w:t>
      </w:r>
      <w:r>
        <w:rPr>
          <w:rFonts w:ascii="Times New Roman;Times;serif" w:hAnsi="Times New Roman;Times;serif"/>
          <w:b w:val="false"/>
          <w:sz w:val="20"/>
        </w:rPr>
        <w:t>sales of the Company’s common stock under the Sale Agreement for the year ended December 31, 2025. For the year ended December 31, 2024, the Company sold 240</w:t>
      </w:r>
      <w:r>
        <w:rPr>
          <w:rFonts w:ascii="Times New Roman;Times;serif" w:hAnsi="Times New Roman;Times;serif"/>
          <w:b/>
          <w:sz w:val="20"/>
        </w:rPr>
        <w:t xml:space="preserve"> </w:t>
      </w:r>
      <w:r>
        <w:rPr>
          <w:rFonts w:ascii="Times New Roman;Times;serif" w:hAnsi="Times New Roman;Times;serif"/>
          <w:b w:val="false"/>
          <w:sz w:val="20"/>
        </w:rPr>
        <w:t xml:space="preserve">shares of its common stock for a gross amount of $7,682, incurred issuance costs of $231, and received net proceeds of $7,451. </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March 2024 Offering</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191 shares (the “Shares”) of common stock, par value $0.001 per share, and accompanying warrants (the “Accompanying Warrants”) to purchase up to 191 shares of common stock at a combined offering price of $46.416 per Share and Accompanying Warrant and pre-funded warrants (the “Pre-Funded Warrants”) to purchase up to 348 shares of common stock and Accompanying Warrants to purchase up to 348 shares of common stock, at a combined offering price of $46.40 per share underlying each Pre-Funded Warrant and Accompanying Warrant, which equals the offering price per Share and Accompanying Warrant less the $0.016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incurred issuance costs of $248, and received net proceeds of $24,752.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For the year ended December 31, 2024, all 348 Pre-Funded Warrants were exercised and the same number of shares of common stock were issued in exchange for $6 of proceeds received.</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Warrants have an exercise price per share of common stock equal to $51.20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Consolidated Balance Sheet as of December 31, 2025.</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November 2024 Offering</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November 22, 2024, the Company entered into an underwriting agreement (the “Underwriting Agreement”) with Canaccord Genuity LLC, as underwriter (the “Underwriter”), in connection with the issuance and sale by the Company in a public offering of (i) 350 shares of the Company’s common stock, and accompanying warrants (the “November 2024 Accompanying Warrants”) to purchase 350 shares of Common Stock, at a combined public offering price of $7.68 per share, and, in lieu thereof to certain investors, (ii) pre-funded warrants to purchase 563 shares of Common Stock, and accompanying warrants (the “November 2024 Accompanying Warrants”) to purchase 563 shares of Common Stock, at a combined public offering price of $7.664 per pre-funded warrant, which equals the public offering price per share of Common Stock and accompanying warrant less the $0.016 exercise price per share of the pre-funded warrants, less underwriting discounts and commissions, pursuant to an effective shelf registration statement on Form S-3 (Registration No. 333-275261) and a related prospectus supplement filed with the Securities and Exchange Commission. The Company received net proceeds from the offering of approximately $6,128, after deducting underwriting discounts and commissions and offering expenses of $871. The Company used the net proceeds of the offering to fund the SERENITY At-Home trial, prepare for the initiation of the TRANQUILITY In-Care trial, working capital and general corporate purposes.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reclassifications or similar events affecting the common stock. The Pre-Funded Warrants are exercisable at any time after the date of issuance. The Pre-Funded Warrants meet the equity classification criteria and are therefore classified as equity. </w:t>
      </w:r>
      <w:r>
        <w:rPr>
          <w:rFonts w:ascii="Times New Roman;Times;serif" w:hAnsi="Times New Roman;Times;serif"/>
          <w:sz w:val="20"/>
          <w:shd w:fill="FFFFFF" w:val="clear"/>
        </w:rPr>
        <w:t>For the year ended December 31, 2024, </w:t>
      </w:r>
      <w:r>
        <w:rPr>
          <w:rFonts w:ascii="Times New Roman;Times;serif" w:hAnsi="Times New Roman;Times;serif"/>
          <w:sz w:val="20"/>
        </w:rPr>
        <w:t>80</w:t>
      </w:r>
      <w:r>
        <w:rPr>
          <w:rFonts w:ascii="Times New Roman;Times;serif" w:hAnsi="Times New Roman;Times;serif"/>
          <w:sz w:val="20"/>
          <w:shd w:fill="FFFFFF" w:val="clear"/>
        </w:rPr>
        <w:t xml:space="preserve"> Pre-Funded Warrants were exercised and the same number of shares of common stock were issued in exchange for $1 of proceeds received. The remaining 483 Pre-Funded Warrants were exercised and the same number of common stock were issued during the first three months of 2025 in exchange for $8 of proceeds received.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November 2024 Accompanying Warrants have an exercise price per share of common stock equal to $7.68 per share. The exercise price and the number of shares of common stock issuable upon exercise of the November 2024 Accompanying Warrants are subject to appropriate adjustments in the event of certain stock dividends and distributions, stock splits, stock combinations, reclassifications or similar events affecting the common stock. The November 2024 Accompanying Warrants are exercisable at any time after the date of issuance and will expire on the fifth anniversary of the date of issuance. The November 2024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Consolidated Balance Sheet as of December 31, 2025.</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March 2025 Offering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3, 2025, the Company entered into a purchase agreement (the “March 2025 Offering”) with a purchaser. Pursuant to the March 2025 Offering, the Company agreed to issue and sell to the purchaser and the purchaser agreed to buy in a registered direct offering (i) an aggregate of 188 shares (the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pursuant to an effective registration statement on Form S-3 (File No. 333-275261), including the base prospectus included therein, and prospectus supplement filed with the SEC on March 4, 2025. The Company received net proceeds from the offering of approximately $12,957, after deducting underwriting discounts and commissions and offering expenses of $1,039.</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2025, all 3,812 Pre-Funded Warrants were exercised and the same number of common stock were issued in exchange for $4 of proceeds received.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March 2025 Accompanying Warrants have an exercise price per share of common stock equal to $4.20 per share. The exercise price and the number of shares of common stock issuable upon exercise of the March 2025 Accompanying Warrants are subject to appropriate adjustments in the event of certain stock dividends and distributions, stock splits, stock combinations, reclassifications or similar events affecting the common stock. The March 2025 Accompanying Warrants will be exercisable at any time after the date of issuance and will expire on the fifth anniversary of the date of issuance. The March 2025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Consolidated Balance Sheet as of December 31, 2025. For the year ended December 31, 2025, 2,300 March 2025 Accompanying Warrants were exercised and the same number of common stock were issued in exchange for $9,660 of proceeds received.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March 2025 Offering, the Company also issued to the purchaser option warrants, to purchase up to 4,000 shares of Common Stock (or pre-funded warrants in lieu thereof) and accompanying warrants to purchase up to 4,000 shares of Common Stock. The exercise price of the Option Warrant is $3.50 per underlying share of Common Stock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$3.499 per underlying pre-funded warrant to purchase one share of Common Stock and accompanying warrant. The option accompanying warrants have an exercise price per share of common stock equal to $4.20 per share. The Option Warrants expired on March 18, 2025 without being exercised.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Canaccord At-the-Market Program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val="false"/>
          <w:sz w:val="20"/>
        </w:rPr>
        <w:t>On April 3, 2025, the Company entered into</w:t>
      </w:r>
      <w:r>
        <w:rPr>
          <w:rFonts w:ascii="Times New Roman;Times;serif" w:hAnsi="Times New Roman;Times;serif"/>
          <w:b/>
          <w:sz w:val="20"/>
        </w:rPr>
        <w:t xml:space="preserve"> </w:t>
      </w:r>
      <w:r>
        <w:rPr>
          <w:rFonts w:ascii="Times New Roman;Times;serif" w:hAnsi="Times New Roman;Times;serif"/>
          <w:b w:val="false"/>
          <w:sz w:val="20"/>
        </w:rPr>
        <w:t>an Equity Distribution Agreement (the “Equity Distribution Agreement”) with Canaccord Genuity LLC (“Canaccord”) to sell shares of the Company’s common stock, par value $0.001</w:t>
      </w:r>
      <w:r>
        <w:rPr>
          <w:rFonts w:ascii="Times New Roman;Times;serif" w:hAnsi="Times New Roman;Times;serif"/>
          <w:b/>
          <w:sz w:val="20"/>
        </w:rPr>
        <w:t xml:space="preserve"> </w:t>
      </w:r>
      <w:r>
        <w:rPr>
          <w:rFonts w:ascii="Times New Roman;Times;serif" w:hAnsi="Times New Roman;Times;serif"/>
          <w:b w:val="false"/>
          <w:sz w:val="20"/>
        </w:rPr>
        <w:t>per share, with aggregate gross sales proceeds of up to $8,135, from time to time, through an “at the market” equity offering program under which Canaccord will act as sales agent. For the year ended December 31, 2025, the Company sold 4,724</w:t>
      </w:r>
      <w:r>
        <w:rPr>
          <w:rFonts w:ascii="Times New Roman;Times;serif" w:hAnsi="Times New Roman;Times;serif"/>
          <w:b/>
          <w:sz w:val="20"/>
        </w:rPr>
        <w:t xml:space="preserve"> </w:t>
      </w:r>
      <w:r>
        <w:rPr>
          <w:rFonts w:ascii="Times New Roman;Times;serif" w:hAnsi="Times New Roman;Times;serif"/>
          <w:b w:val="false"/>
          <w:sz w:val="20"/>
        </w:rPr>
        <w:t>shares of its common stock for a gross amount of $8,130, incurred issuance costs of $244, and received net proceeds of $7,886.</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6, 2025, the Company increased the maximum amount of shares that are eligible to be sold pursuant to the Equity Distribution Agreement to allow for the offer and sale of up to $3,500 of its common stock. For the year ended December 31, 2025, the Company sold 1,050 shares for gross proceeds of $3,500 and received proceeds of $3,395, net of issuance costs of $105. Following the sale of common stock, the Company raised sufficient net proceeds to satisfy the Raise 3 requirement under the Fifth Amendment to the Credit Agreement.</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18, 2025, the Company filed a prospectus supplement with the Securities and Exchange Commission for the offer and sale of up to $80,000 shares of common stock pursuant to the Equity Distribution Agreement. For the year ended December 31, 2025, the Company sold 6,313 shares for gross proceeds of $22,846 and received proceeds of $22,389, net of issuance costs of $457.</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Stock-Based Compensation</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2017 Equity Incentive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2020 Incentive Award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57 shares of the Company’s common stock and (ii) 15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124 shares and 75 shares on January 1, 2025 and 2024,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Stock-based awards granted under the 2020 Plan have a term of ten years. The vesting schedule of all awards granted under the 2020 Plan is determined by the Board of Directors, which is generally four years. Stock-based awards granted under the 2020 Plan include stock options, BTI RSUs, and Performance Units.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December 31, 2025, there were 42 shares available to be granted under the 2020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sz w:val="20"/>
        </w:rPr>
      </w:pPr>
      <w:bookmarkStart w:id="606" w:name="Tc_KM5oZcPquEKmhpeGImo3ww_8_0"/>
      <w:bookmarkStart w:id="607" w:name="Tc_veZH4H0SA0-mnVCqVMdtOQ_7_0"/>
      <w:bookmarkStart w:id="608" w:name="Tc_vH1ZlalVikyLFVoCWqSD6Q_6_0"/>
      <w:bookmarkStart w:id="609" w:name="Tc_HLT-DcF7ikGJ-lanUg5iQQ_5_0"/>
      <w:bookmarkStart w:id="610" w:name="Tc_h_S3phsnL0aPd3WD3w_2lg_4_0"/>
      <w:bookmarkStart w:id="611" w:name="Tc_u1cFe70xz0Oqzsd2Tt-ong_2_2"/>
      <w:bookmarkStart w:id="612" w:name="Tc_eD5sKHEsREGejKsqXFl-yA_1_2"/>
      <w:bookmarkStart w:id="613" w:name="Tc__z4G1aaRJEaycdyDhxpl6A_9_0"/>
      <w:bookmarkStart w:id="614" w:name="Tc_GcFvUrPO-kKkES5RIkxHgQ_8_0"/>
      <w:bookmarkStart w:id="615" w:name="Tc_ImXf5bD3Vk-V4tvdIMRedQ_7_0"/>
      <w:bookmarkStart w:id="616" w:name="Tc__yFAtQWwU0u0aHeedezcrw_6_0"/>
      <w:bookmarkStart w:id="617" w:name="Tc_j6MLuqYr3EOxOakbc9Ai8A_5_0"/>
      <w:bookmarkStart w:id="618" w:name="Tc_MgR_4AZ9U0ir_x4BHeWqTw_3_2"/>
      <w:bookmarkStart w:id="619" w:name="Tc_-qnugRqpG0mS8KmFTbJlYg_2_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ascii="Times New Roman;Times;serif" w:hAnsi="Times New Roman;Times;serif"/>
          <w:b/>
          <w:sz w:val="20"/>
        </w:rPr>
        <w:t>BTI Restricted stock units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table below summarizes activity relating to BTI RSUs.</w:t>
      </w:r>
    </w:p>
    <w:p>
      <w:pPr>
        <w:pStyle w:val="TextBody"/>
        <w:bidi w:val="0"/>
        <w:spacing w:before="0" w:after="0"/>
        <w:ind w:left="0" w:right="0" w:hanging="0"/>
        <w:jc w:val="left"/>
        <w:rPr/>
      </w:pPr>
      <w:r>
        <w:rPr/>
        <w:t>​</w:t>
      </w:r>
    </w:p>
    <w:tbl>
      <w:tblPr>
        <w:tblW w:w="4323" w:type="dxa"/>
        <w:jc w:val="left"/>
        <w:tblInd w:w="0" w:type="dxa"/>
        <w:tblLayout w:type="fixed"/>
        <w:tblCellMar>
          <w:top w:w="0" w:type="dxa"/>
          <w:left w:w="0" w:type="dxa"/>
          <w:bottom w:w="0" w:type="dxa"/>
          <w:right w:w="0" w:type="dxa"/>
        </w:tblCellMar>
      </w:tblPr>
      <w:tblGrid>
        <w:gridCol w:w="3166"/>
        <w:gridCol w:w="226"/>
        <w:gridCol w:w="93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10410" cy="175260"/>
                      <wp:effectExtent l="0" t="0" r="0" b="0"/>
                      <wp:wrapNone/>
                      <wp:docPr id="345" name="Frame341"/>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43510" cy="175260"/>
                      <wp:effectExtent l="0" t="0" r="0" b="0"/>
                      <wp:wrapNone/>
                      <wp:docPr id="346" name="Frame3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91185" cy="175260"/>
                      <wp:effectExtent l="0" t="0" r="0" b="0"/>
                      <wp:wrapNone/>
                      <wp:docPr id="347" name="Frame3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shares </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2025</w:t>
            </w:r>
          </w:p>
        </w:tc>
        <w:tc>
          <w:tcPr>
            <w:tcW w:w="2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2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2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107</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2025, the Company granted 111 time-based BTI RSUs. BTI RSUs granted to employees fully vest on the one-year anniversary of the grant date, and BTI RSUs granted to executives fully vest on the nine-month anniversary of the grant date. The weighted average grant date fair value per share for the BTI RSUs granted in the year ended December 31, 2025 was $1.65. The outstanding BTI RSUs issued prior to 2025 generally vest over four years, with 25% vesting at the one-year anniversary of the grant date and the balance vesting ratably over the remaining 12 quarters of the vesting period. The total fair value of BTI RSUs vested in the year ended December 31, 2025 was $50. Unrecognized stock-based compensation expense related to these awards was $198 and $760 as of December 31, 2025 and 2024, respectively. </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 xml:space="preserve">BTI Performance stock units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table below summarizes activity relating to Performance Units related to BTI common stock.</w:t>
      </w:r>
    </w:p>
    <w:p>
      <w:pPr>
        <w:pStyle w:val="TextBody"/>
        <w:bidi w:val="0"/>
        <w:spacing w:before="0" w:after="240"/>
        <w:ind w:left="0" w:right="0" w:firstLine="360"/>
        <w:jc w:val="left"/>
        <w:rPr/>
      </w:pPr>
      <w:r>
        <w:rPr/>
        <w:t>​</w:t>
      </w:r>
    </w:p>
    <w:tbl>
      <w:tblPr>
        <w:tblW w:w="4323" w:type="dxa"/>
        <w:jc w:val="left"/>
        <w:tblInd w:w="0" w:type="dxa"/>
        <w:tblLayout w:type="fixed"/>
        <w:tblCellMar>
          <w:top w:w="0" w:type="dxa"/>
          <w:left w:w="0" w:type="dxa"/>
          <w:bottom w:w="0" w:type="dxa"/>
          <w:right w:w="0" w:type="dxa"/>
        </w:tblCellMar>
      </w:tblPr>
      <w:tblGrid>
        <w:gridCol w:w="3166"/>
        <w:gridCol w:w="226"/>
        <w:gridCol w:w="93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10410" cy="175260"/>
                      <wp:effectExtent l="0" t="0" r="0" b="0"/>
                      <wp:wrapNone/>
                      <wp:docPr id="348" name="Frame34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3510" cy="175260"/>
                      <wp:effectExtent l="0" t="0" r="0" b="0"/>
                      <wp:wrapNone/>
                      <wp:docPr id="349" name="Frame3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91185" cy="175260"/>
                      <wp:effectExtent l="0" t="0" r="0" b="0"/>
                      <wp:wrapNone/>
                      <wp:docPr id="350" name="Frame3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shares </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2025</w:t>
            </w:r>
          </w:p>
        </w:tc>
        <w:tc>
          <w:tcPr>
            <w:tcW w:w="2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2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2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July 2024, the Company granted 87 Performance Units to employees. The Performance Units vest on the one-year anniversary of the grant date, provided certain performance criteria are met. The weighted average value per share of Performance Units granted in 2024 was $19.20. All remaining outstanding Performance Units had vested as of December 31, 2025. The total fair value of Performance Units vested in the year ended December 31, 2025 was $103. Unrecognized stock-based compensation expense related to these Performance Units expected to vest is zero, as stock-based compensation expense of $1,098 was recognized in June 2025 due to certain performance criteria being met as determined by the Compensation Committee of the Board of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sz w:val="20"/>
        </w:rPr>
      </w:pPr>
      <w:bookmarkStart w:id="620" w:name="Tc_NIPIeaQ7z0OIh6Pwgg6nNA_9_0"/>
      <w:bookmarkStart w:id="621" w:name="Tc_lUhglDXFDEOzVZvF7p9CLQ_8_0"/>
      <w:bookmarkStart w:id="622" w:name="Tc_JALtpA789UO9UAwXAw011A_7_0"/>
      <w:bookmarkStart w:id="623" w:name="Tc_rg3gsi7T5kWC0T26up_5fA_6_2"/>
      <w:bookmarkStart w:id="624" w:name="Tc_3j9mFuB4C0yL5uJKTkX7dw_6_0"/>
      <w:bookmarkStart w:id="625" w:name="Tc_ww9W4TzPXk6ziWpWgzC6UA_5_0"/>
      <w:bookmarkStart w:id="626" w:name="Tc_Ep76GpGUxUW8lXlaAYYaAA_3_2"/>
      <w:bookmarkStart w:id="627" w:name="Tc_2FmpAFbZkk2d1DyQ3wSwqQ_2_2"/>
      <w:bookmarkStart w:id="628" w:name="_a75825b6_04d7_40c0_8692_03d6ff9fc96d"/>
      <w:bookmarkStart w:id="629" w:name="Tc_H51T0f21EE-bzzsFRu-YKA_7_3"/>
      <w:bookmarkStart w:id="630" w:name="Tc_OU7VLjdou0e_Ma7iFU4YSA_7_0"/>
      <w:bookmarkStart w:id="631" w:name="Tc_RJfwD-Y5TkeJ4bRBpYelDg_6_3"/>
      <w:bookmarkStart w:id="632" w:name="Tc_frG4pNLWCEu9gTgNU5LUoA_6_0"/>
      <w:bookmarkStart w:id="633" w:name="Tc_r7RiWmGbR0uyVIAt0a_ECQ_5_3"/>
      <w:bookmarkStart w:id="634" w:name="Tc_7Bpo4O3fu064ue3Mj6Ha3w_5_0"/>
      <w:bookmarkStart w:id="635" w:name="Tc_dyfvaPquYkSRyht523tfcA_4_3"/>
      <w:bookmarkStart w:id="636" w:name="Tc_vOAPKB7UBkaKeZlmhgX2Xw_4_0"/>
      <w:bookmarkStart w:id="637" w:name="Tc__tuVMeUEuEGWfygPV5myJA_2_2"/>
      <w:bookmarkStart w:id="638" w:name="Tc_ha6CSZWRmUeT7qrXmQDw9A_12_4"/>
      <w:bookmarkStart w:id="639" w:name="Tc_ctTLR9IbREO6nkHYpWAx4w_12_0"/>
      <w:bookmarkStart w:id="640" w:name="Tc_n_EaQq43PUiIERXbsUKBvQ_10_0"/>
      <w:bookmarkStart w:id="641" w:name="Tc_VMUlmBbVKU6WjVqoaxvKkg_9_4"/>
      <w:bookmarkStart w:id="642" w:name="Tc_UyffxTNOgUWIi1-GQr7Xiw_9_0"/>
      <w:bookmarkStart w:id="643" w:name="Tc_1WZx9SjM40OT02_ZWV9HSw_8_4"/>
      <w:bookmarkStart w:id="644" w:name="Tc_SGfc2K6njkKphJA6eQ8Hyw_8_0"/>
      <w:bookmarkStart w:id="645" w:name="Tc_krLpm60-6UeULxbAC8RC8A_7_4"/>
      <w:bookmarkStart w:id="646" w:name="Tc_oNA-g93tEEaKWVUBgQconQ_7_0"/>
      <w:bookmarkStart w:id="647" w:name="Tc_rtYHU_rSqUWj09VW9Lj5gA_6_4"/>
      <w:bookmarkStart w:id="648" w:name="Tc_XEHb1c_D-EyCbIgh74mUGw_6_0"/>
      <w:bookmarkStart w:id="649" w:name="Tc_KbcGGpexekeIbwenp5jbBQ_4_4"/>
      <w:bookmarkStart w:id="650" w:name="Tc_469xhercGkiGPbHsdgcntQ_4_2"/>
      <w:bookmarkStart w:id="651" w:name="Tc_DerNUsBcFEWie5JKVzq1pA_3_4"/>
      <w:bookmarkStart w:id="652" w:name="Tc_nX5VCLzprU-gKSx3NntmVw_3_2"/>
      <w:bookmarkStart w:id="653" w:name="Tc_xhT9mRvVlkmC4PIEsRPcQg_2_4"/>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Times New Roman;Times;serif" w:hAnsi="Times New Roman;Times;serif"/>
          <w:b/>
          <w:sz w:val="20"/>
        </w:rPr>
        <w:t>OnkosXcel Profit sharing units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table below summarizes activity relating to the PSUs associated with OnkosXcel as described below.</w:t>
      </w:r>
    </w:p>
    <w:p>
      <w:pPr>
        <w:pStyle w:val="TextBody"/>
        <w:bidi w:val="0"/>
        <w:spacing w:before="0" w:after="0"/>
        <w:ind w:left="0" w:right="0" w:hanging="0"/>
        <w:jc w:val="left"/>
        <w:rPr/>
      </w:pPr>
      <w:r>
        <w:rPr/>
        <w:t>​</w:t>
      </w:r>
    </w:p>
    <w:tbl>
      <w:tblPr>
        <w:tblW w:w="5857" w:type="dxa"/>
        <w:jc w:val="left"/>
        <w:tblInd w:w="0" w:type="dxa"/>
        <w:tblLayout w:type="fixed"/>
        <w:tblCellMar>
          <w:top w:w="0" w:type="dxa"/>
          <w:left w:w="0" w:type="dxa"/>
          <w:bottom w:w="0" w:type="dxa"/>
          <w:right w:w="0" w:type="dxa"/>
        </w:tblCellMar>
      </w:tblPr>
      <w:tblGrid>
        <w:gridCol w:w="3166"/>
        <w:gridCol w:w="226"/>
        <w:gridCol w:w="886"/>
        <w:gridCol w:w="109"/>
        <w:gridCol w:w="346"/>
        <w:gridCol w:w="1124"/>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10410" cy="175260"/>
                      <wp:effectExtent l="0" t="0" r="0" b="0"/>
                      <wp:wrapNone/>
                      <wp:docPr id="351" name="Frame347"/>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43510" cy="175260"/>
                      <wp:effectExtent l="0" t="0" r="0" b="0"/>
                      <wp:wrapNone/>
                      <wp:docPr id="352" name="Frame3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62610" cy="175260"/>
                      <wp:effectExtent l="0" t="0" r="0" b="0"/>
                      <wp:wrapNone/>
                      <wp:docPr id="353" name="Frame3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4"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5"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13740" cy="175260"/>
                      <wp:effectExtent l="0" t="0" r="0" b="0"/>
                      <wp:wrapNone/>
                      <wp:docPr id="356" name="Frame352"/>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 unit</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whole dollars)</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2025</w:t>
            </w:r>
          </w:p>
        </w:tc>
        <w:tc>
          <w:tcPr>
            <w:tcW w:w="2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2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24"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4"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units as of December 31, 2025</w:t>
            </w:r>
          </w:p>
        </w:tc>
        <w:tc>
          <w:tcPr>
            <w:tcW w:w="2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5,602</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2024, OnkosXcel Employee Holdings, LLC, a management holding company used to facilitate the grant of equity interests to service providers of OnkosXcel granted 15 individual (not in thousands) time-based PSUs related to OnkosXcel to certain employees of the Company in consideration for services provided to OnkosXcel. The PSUs represent indirect equity interests in OnkosXcel. These PSUs vest ratably over 48 months.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fair values of the PSUs granted in 2024 were estimated at the date of grant using a Black-Scholes option pricing model and assumptions below. </w:t>
      </w:r>
    </w:p>
    <w:p>
      <w:pPr>
        <w:pStyle w:val="TextBody"/>
        <w:bidi w:val="0"/>
        <w:spacing w:before="0" w:after="0"/>
        <w:ind w:left="0" w:right="0" w:hanging="0"/>
        <w:jc w:val="left"/>
        <w:rPr/>
      </w:pPr>
      <w:r>
        <w:rPr/>
        <w:t>​</w:t>
      </w:r>
    </w:p>
    <w:tbl>
      <w:tblPr>
        <w:tblW w:w="6249" w:type="dxa"/>
        <w:jc w:val="left"/>
        <w:tblInd w:w="0" w:type="dxa"/>
        <w:tblLayout w:type="fixed"/>
        <w:tblCellMar>
          <w:top w:w="0" w:type="dxa"/>
          <w:left w:w="0" w:type="dxa"/>
          <w:bottom w:w="0" w:type="dxa"/>
          <w:right w:w="0" w:type="dxa"/>
        </w:tblCellMar>
      </w:tblPr>
      <w:tblGrid>
        <w:gridCol w:w="2131"/>
        <w:gridCol w:w="109"/>
        <w:gridCol w:w="1811"/>
        <w:gridCol w:w="2044"/>
        <w:gridCol w:w="154"/>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53185" cy="175260"/>
                      <wp:effectExtent l="0" t="0" r="0" b="0"/>
                      <wp:wrapNone/>
                      <wp:docPr id="357" name="Frame35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8"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149985" cy="175260"/>
                      <wp:effectExtent l="0" t="0" r="0" b="0"/>
                      <wp:wrapNone/>
                      <wp:docPr id="359" name="Frame355"/>
                      <a:graphic xmlns:a="http://schemas.openxmlformats.org/drawingml/2006/main">
                        <a:graphicData uri="http://schemas.microsoft.com/office/word/2010/wordprocessingShape">
                          <wps:wsp>
                            <wps:cNvSpPr txBox="1"/>
                            <wps:spPr>
                              <a:xfrm>
                                <a:off x="0" y="0"/>
                                <a:ext cx="114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297940" cy="175260"/>
                      <wp:effectExtent l="0" t="0" r="0" b="0"/>
                      <wp:wrapNone/>
                      <wp:docPr id="360" name="Frame356"/>
                      <a:graphic xmlns:a="http://schemas.openxmlformats.org/drawingml/2006/main">
                        <a:graphicData uri="http://schemas.microsoft.com/office/word/2010/wordprocessingShape">
                          <wps:wsp>
                            <wps:cNvSpPr txBox="1"/>
                            <wps:spPr>
                              <a:xfrm>
                                <a:off x="0" y="0"/>
                                <a:ext cx="1297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97790" cy="175260"/>
                      <wp:effectExtent l="0" t="0" r="0" b="0"/>
                      <wp:wrapNone/>
                      <wp:docPr id="361" name="Frame3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1" w:type="dxa"/>
            <w:tcBorders/>
            <w:vAlign w:val="center"/>
          </w:tcPr>
          <w:p>
            <w:pPr>
              <w:pStyle w:val="TableContents"/>
              <w:bidi w:val="0"/>
              <w:spacing w:before="0" w:after="1"/>
              <w:ind w:left="0" w:right="0" w:hanging="0"/>
              <w:jc w:val="left"/>
              <w:rPr/>
            </w:pPr>
            <w:r>
              <w:rPr/>
              <w:t>​</w:t>
            </w:r>
          </w:p>
        </w:tc>
        <w:tc>
          <w:tcPr>
            <w:tcW w:w="204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 grant profit share unit valuation inputs</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1" w:type="dxa"/>
            <w:tcBorders/>
            <w:vAlign w:val="center"/>
          </w:tcPr>
          <w:p>
            <w:pPr>
              <w:pStyle w:val="TableContents"/>
              <w:bidi w:val="0"/>
              <w:spacing w:before="0" w:after="1"/>
              <w:ind w:left="0" w:right="0" w:hanging="0"/>
              <w:jc w:val="left"/>
              <w:rPr/>
            </w:pPr>
            <w:r>
              <w:rPr/>
              <w:t>​</w:t>
            </w:r>
          </w:p>
        </w:tc>
        <w:tc>
          <w:tcPr>
            <w:tcW w:w="204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20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of interest</w:t>
            </w:r>
          </w:p>
        </w:tc>
        <w:tc>
          <w:tcPr>
            <w:tcW w:w="109" w:type="dxa"/>
            <w:tcBorders/>
            <w:vAlign w:val="center"/>
          </w:tcPr>
          <w:p>
            <w:pPr>
              <w:pStyle w:val="TableContents"/>
              <w:bidi w:val="0"/>
              <w:spacing w:before="0" w:after="1"/>
              <w:ind w:left="0" w:right="0" w:hanging="0"/>
              <w:jc w:val="left"/>
              <w:rPr/>
            </w:pPr>
            <w:r>
              <w:rPr/>
              <w:t>​</w:t>
            </w:r>
          </w:p>
        </w:tc>
        <w:tc>
          <w:tcPr>
            <w:tcW w:w="1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20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09" w:type="dxa"/>
            <w:tcBorders/>
            <w:shd w:fill="CCEEFF" w:val="clear"/>
            <w:vAlign w:val="center"/>
          </w:tcPr>
          <w:p>
            <w:pPr>
              <w:pStyle w:val="TableContents"/>
              <w:bidi w:val="0"/>
              <w:spacing w:before="0" w:after="1"/>
              <w:ind w:left="0" w:right="0" w:hanging="0"/>
              <w:jc w:val="left"/>
              <w:rPr/>
            </w:pPr>
            <w:r>
              <w:rPr/>
              <w:t>​</w:t>
            </w:r>
          </w:p>
        </w:tc>
        <w:tc>
          <w:tcPr>
            <w:tcW w:w="1811" w:type="dxa"/>
            <w:tcBorders/>
            <w:shd w:fill="CCEEFF" w:val="clear"/>
            <w:vAlign w:val="center"/>
          </w:tcPr>
          <w:p>
            <w:pPr>
              <w:pStyle w:val="TableContents"/>
              <w:bidi w:val="0"/>
              <w:spacing w:before="0" w:after="1"/>
              <w:ind w:left="0" w:right="0" w:hanging="0"/>
              <w:jc w:val="right"/>
              <w:rPr/>
            </w:pPr>
            <w:r>
              <w:rPr/>
              <w:t>—</w:t>
            </w:r>
          </w:p>
        </w:tc>
        <w:tc>
          <w:tcPr>
            <w:tcW w:w="20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109" w:type="dxa"/>
            <w:tcBorders/>
            <w:vAlign w:val="center"/>
          </w:tcPr>
          <w:p>
            <w:pPr>
              <w:pStyle w:val="TableContents"/>
              <w:bidi w:val="0"/>
              <w:spacing w:before="0" w:after="1"/>
              <w:ind w:left="0" w:right="0" w:hanging="0"/>
              <w:jc w:val="left"/>
              <w:rPr/>
            </w:pPr>
            <w:r>
              <w:rPr/>
              <w:t>​</w:t>
            </w:r>
          </w:p>
        </w:tc>
        <w:tc>
          <w:tcPr>
            <w:tcW w:w="1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20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Unrecognized stock-based compensation expense related to the PSUs was $75 and $377 as of December 31, 2025 and 2024, respectively.</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OnkosXcel restricted stock units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table below summarizes activity relating to the OnkosXcel RSUs.</w:t>
      </w:r>
    </w:p>
    <w:p>
      <w:pPr>
        <w:pStyle w:val="TextBody"/>
        <w:bidi w:val="0"/>
        <w:spacing w:before="0" w:after="0"/>
        <w:ind w:left="0" w:right="0" w:hanging="0"/>
        <w:jc w:val="left"/>
        <w:rPr/>
      </w:pPr>
      <w:r>
        <w:rPr/>
        <w:t>​</w:t>
      </w:r>
    </w:p>
    <w:tbl>
      <w:tblPr>
        <w:tblW w:w="4443" w:type="dxa"/>
        <w:jc w:val="left"/>
        <w:tblInd w:w="0" w:type="dxa"/>
        <w:tblLayout w:type="fixed"/>
        <w:tblCellMar>
          <w:top w:w="0" w:type="dxa"/>
          <w:left w:w="0" w:type="dxa"/>
          <w:bottom w:w="0" w:type="dxa"/>
          <w:right w:w="0" w:type="dxa"/>
        </w:tblCellMar>
      </w:tblPr>
      <w:tblGrid>
        <w:gridCol w:w="3166"/>
        <w:gridCol w:w="226"/>
        <w:gridCol w:w="105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10410" cy="175260"/>
                      <wp:effectExtent l="0" t="0" r="0" b="0"/>
                      <wp:wrapNone/>
                      <wp:docPr id="362" name="Frame358"/>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3510" cy="175260"/>
                      <wp:effectExtent l="0" t="0" r="0" b="0"/>
                      <wp:wrapNone/>
                      <wp:docPr id="363" name="Frame3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67385" cy="175260"/>
                      <wp:effectExtent l="0" t="0" r="0" b="0"/>
                      <wp:wrapNone/>
                      <wp:docPr id="364" name="Frame36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units</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2025</w:t>
            </w:r>
          </w:p>
        </w:tc>
        <w:tc>
          <w:tcPr>
            <w:tcW w:w="2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2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2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316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654" w:name="Tc_pfyQ4r1vk0WaXbJlXHWK6A_8_13"/>
      <w:bookmarkStart w:id="655" w:name="Tc_qElqMgW-EEGbBFvHFrbRyg_8_11"/>
      <w:bookmarkStart w:id="656" w:name="Tc_CqYe2UsimkG6UZqutq4UbQ_8_10"/>
      <w:bookmarkStart w:id="657" w:name="Tc__pqrDblcmkmD7LzrcfyEzg_8_7"/>
      <w:bookmarkStart w:id="658" w:name="Tc_sKXLzEjpOUWJVNkbRhfH5A_8_5"/>
      <w:bookmarkStart w:id="659" w:name="Tc_erk7Q-kXj0y3bu4MbwGH1A_8_4"/>
      <w:bookmarkStart w:id="660" w:name="Tc_J1BGe1aUyEOx30R8WfsA3Q_8_0"/>
      <w:bookmarkStart w:id="661" w:name="Tc_f0VqvOZ5q020v92BQUARPA_7_13"/>
      <w:bookmarkStart w:id="662" w:name="Tc_n6C1j4sm602--I0BXbFh8g_7_11"/>
      <w:bookmarkStart w:id="663" w:name="Tc_tJl9OBq22EWwSqDRSc-64Q_7_10"/>
      <w:bookmarkStart w:id="664" w:name="Tc_D3LzG1bc1EGTrsHk5CGAfw_7_7"/>
      <w:bookmarkStart w:id="665" w:name="Tc_nq9m8ojb5E6Np8kPZKmzFQ_7_5"/>
      <w:bookmarkStart w:id="666" w:name="Tc_V9ZsPRnqyUGXd_DUCg0rpw_7_4"/>
      <w:bookmarkStart w:id="667" w:name="Tc_I1DN5tGRnkCCiApA-yjcLw_7_0"/>
      <w:bookmarkStart w:id="668" w:name="Tc_n3UzAjWZ10mpvWO8Y1xv3w_6_13"/>
      <w:bookmarkStart w:id="669" w:name="Tc_T0hUihqssEOIdOu24l1Emg_6_11"/>
      <w:bookmarkStart w:id="670" w:name="Tc_cyqhrp1DSUS4TduB3YDonQ_6_10"/>
      <w:bookmarkStart w:id="671" w:name="Tc_3zxm8nLePk2k8-zJmok4Tw_6_7"/>
      <w:bookmarkStart w:id="672" w:name="Tc_ZsBg4OT9vkSe6HMBXiUOqA_6_5"/>
      <w:bookmarkStart w:id="673" w:name="Tc_VOeAyFI3YEe-xD_wzqA5yA_6_4"/>
      <w:bookmarkStart w:id="674" w:name="Tc_W5jvJAkbEkyZOjTE03j3mw_6_0"/>
      <w:bookmarkStart w:id="675" w:name="Tc_KFAvRsXdzkmlvu_mgoNgwg_5_13"/>
      <w:bookmarkStart w:id="676" w:name="Tc_fpq8u7XYkkicWFI9WsYAuw_5_11"/>
      <w:bookmarkStart w:id="677" w:name="Tc_WCqOHguQ0kmPjNq8qpjhqw_5_10"/>
      <w:bookmarkStart w:id="678" w:name="Tc_74yGz6mlgUa2r4c3vPR8kw_5_7"/>
      <w:bookmarkStart w:id="679" w:name="Tc_VGZktRVyn0mKtiacNRG9pQ_5_5"/>
      <w:bookmarkStart w:id="680" w:name="Tc_6A18O4LDsUaZYU2Qx97HGA_5_4"/>
      <w:bookmarkStart w:id="681" w:name="Tc_eJ4JZl7AdEqjDruFOcyNHg_5_0"/>
      <w:bookmarkStart w:id="682" w:name="Tc_OabE10eoXUOu1zEdDhfuMg_3_9"/>
      <w:bookmarkStart w:id="683" w:name="Tc_aTUc-Zg44U-ezi4mEF6wJQ_3_3"/>
      <w:bookmarkStart w:id="684" w:name="Tc_XxCQLaU37Ea0xoexMgOFFg_2_9"/>
      <w:bookmarkStart w:id="685" w:name="Tc_Tuj9ALGdTEeJYQcB9LdG3g_2_2"/>
      <w:bookmarkStart w:id="686" w:name="Tc_NJrDm24rmESwjkVqX_j-LA_12_4"/>
      <w:bookmarkStart w:id="687" w:name="Tc_EuUBke1adkioBjvODRN4hw_12_0"/>
      <w:bookmarkStart w:id="688" w:name="Tc_2qOi7i14ykCoIoXTTG6WwA_10_4"/>
      <w:bookmarkStart w:id="689" w:name="Tc_GY7TORa0zUqlPL2q1OEkTA_10_0"/>
      <w:bookmarkStart w:id="690" w:name="Tc_JZRewnwegUO4jkNNAd9pTA_9_5"/>
      <w:bookmarkStart w:id="691" w:name="Tc_4bCTYdP88kCdY0xmAvEq-A_9_4"/>
      <w:bookmarkStart w:id="692" w:name="Tc_6bxtAJLydkSkXnqQ0Vuypw_9_2"/>
      <w:bookmarkStart w:id="693" w:name="Tc_558y2RdHV0S7ODPb59Rq-Q_9_0"/>
      <w:bookmarkStart w:id="694" w:name="Tc_yPVaqRHzOkWNIOsuvI6KfQ_8_4"/>
      <w:bookmarkStart w:id="695" w:name="Tc_2fCB0S3CCk-XuuqNirtu2w_8_0"/>
      <w:bookmarkStart w:id="696" w:name="Tc_10mpo5naLUCgdFYDI_EHBQ_7_4"/>
      <w:bookmarkStart w:id="697" w:name="Tc_yMu6PXGKGUqQnxMETP-t0A_7_0"/>
      <w:bookmarkStart w:id="698" w:name="Tc_xoSfYJvJB0S4nnS6Go0f4w_6_4"/>
      <w:bookmarkStart w:id="699" w:name="Tc_zG3pYa-gPEWKidPY-UjSfA_6_0"/>
      <w:bookmarkStart w:id="700" w:name="Tc_GDP3YuFca0mXs_q18IofMw_5_4"/>
      <w:bookmarkStart w:id="701" w:name="Tc_GMBdvbuIuU-415-SZ-rOyA_5_0"/>
      <w:bookmarkStart w:id="702" w:name="Tc_gBoqAXg3e0qV21YXY0wvkA_3_4"/>
      <w:bookmarkStart w:id="703" w:name="Tc_VMPEWJmwZk6P2NhMepRrvg_3_2"/>
      <w:bookmarkStart w:id="704" w:name="Tc_4U19JSn5o0CF8Nj4NnBV3A_2_4"/>
      <w:bookmarkStart w:id="705" w:name="Tc_ai6zAFbxXE2OtO8YiLoKNQ_2_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Pr>
          <w:rFonts w:ascii="Times New Roman;Times;serif" w:hAnsi="Times New Roman;Times;serif"/>
          <w:sz w:val="20"/>
        </w:rPr>
        <w:t>As of December 31, 2025, the Company had 135 OnkosXcel Restricted Stock Units outstanding. Unrecognized stock-based compensation expense related to the awards expected to vest was approximately $20 and $210 as of December 31, 2025 and 2024, respectively.</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BTI Stock options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summary of the Company’s stock option activity for the year ended December 31, 2025, is presented below.</w:t>
      </w:r>
    </w:p>
    <w:p>
      <w:pPr>
        <w:pStyle w:val="TextBody"/>
        <w:bidi w:val="0"/>
        <w:spacing w:before="0" w:after="0"/>
        <w:ind w:left="0" w:right="0" w:hanging="0"/>
        <w:jc w:val="left"/>
        <w:rPr/>
      </w:pPr>
      <w:r>
        <w:rPr/>
        <w:t>​</w:t>
      </w:r>
    </w:p>
    <w:tbl>
      <w:tblPr>
        <w:tblW w:w="7715" w:type="dxa"/>
        <w:jc w:val="left"/>
        <w:tblInd w:w="0" w:type="dxa"/>
        <w:tblLayout w:type="fixed"/>
        <w:tblCellMar>
          <w:top w:w="0" w:type="dxa"/>
          <w:left w:w="0" w:type="dxa"/>
          <w:bottom w:w="0" w:type="dxa"/>
          <w:right w:w="0" w:type="dxa"/>
        </w:tblCellMar>
      </w:tblPr>
      <w:tblGrid>
        <w:gridCol w:w="4681"/>
        <w:gridCol w:w="226"/>
        <w:gridCol w:w="886"/>
        <w:gridCol w:w="226"/>
        <w:gridCol w:w="339"/>
        <w:gridCol w:w="1086"/>
        <w:gridCol w:w="27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972435" cy="175260"/>
                      <wp:effectExtent l="0" t="0" r="0" b="0"/>
                      <wp:wrapNone/>
                      <wp:docPr id="365" name="Frame361"/>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43510" cy="175260"/>
                      <wp:effectExtent l="0" t="0" r="0" b="0"/>
                      <wp:wrapNone/>
                      <wp:docPr id="366" name="Frame3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62610" cy="175260"/>
                      <wp:effectExtent l="0" t="0" r="0" b="0"/>
                      <wp:wrapNone/>
                      <wp:docPr id="367" name="Frame36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3510" cy="175260"/>
                      <wp:effectExtent l="0" t="0" r="0" b="0"/>
                      <wp:wrapNone/>
                      <wp:docPr id="368" name="Frame3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5265" cy="175260"/>
                      <wp:effectExtent l="0" t="0" r="0" b="0"/>
                      <wp:wrapNone/>
                      <wp:docPr id="369" name="Frame365"/>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89610" cy="175260"/>
                      <wp:effectExtent l="0" t="0" r="0" b="0"/>
                      <wp:wrapNone/>
                      <wp:docPr id="370" name="Frame366"/>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72085" cy="175260"/>
                      <wp:effectExtent l="0" t="0" r="0" b="0"/>
                      <wp:wrapNone/>
                      <wp:docPr id="371" name="Frame36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271" w:type="dxa"/>
            <w:tcBorders/>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shares </w:t>
            </w:r>
          </w:p>
        </w:tc>
        <w:tc>
          <w:tcPr>
            <w:tcW w:w="226" w:type="dxa"/>
            <w:tcBorders/>
            <w:vAlign w:val="center"/>
          </w:tcPr>
          <w:p>
            <w:pPr>
              <w:pStyle w:val="TableContents"/>
              <w:bidi w:val="0"/>
              <w:spacing w:before="0" w:after="0"/>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271"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center"/>
              <w:rPr/>
            </w:pPr>
            <w:r>
              <w:rPr/>
              <w:t>​</w:t>
            </w:r>
          </w:p>
        </w:tc>
        <w:tc>
          <w:tcPr>
            <w:tcW w:w="108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2025</w:t>
            </w:r>
          </w:p>
        </w:tc>
        <w:tc>
          <w:tcPr>
            <w:tcW w:w="2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265.36</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27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124.50</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2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372.12</w:t>
            </w:r>
          </w:p>
        </w:tc>
        <w:tc>
          <w:tcPr>
            <w:tcW w:w="27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2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27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exercisable as of December 31, 2025</w:t>
            </w:r>
          </w:p>
        </w:tc>
        <w:tc>
          <w:tcPr>
            <w:tcW w:w="2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2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207.59</w:t>
            </w:r>
          </w:p>
        </w:tc>
        <w:tc>
          <w:tcPr>
            <w:tcW w:w="2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December 31, 2025, the intrinsic value of options outstanding was $0. The intrinsic value for stock options is calculated based on the difference between the exercise prices of the underlying awards and the quoted stock price of the Company’s common stock as of the reporting date.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total intrinsic value of stock options exercised for the year ended December 31, 2025 was $0. The total intrinsic value of stock options exercisable as of December 31, 2025 was $0.</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weighted average grant date fair value of options granted during the year ended December 31, 2025 was $6.16.</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weighted average grant date fair value of options vested as of December 31, 2025 was $153.24.</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weighted average remaining contractual life is 5.3 years for options exercisable as of December 31, 2025. The weighted average remaining contractual life was 5.5 years for options outstanding as of December 31, 2025.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Unrecognized compensation expense related to unvested stock option awards as of December 31, 2025, was $422 and will be recognized over the remaining vesting periods of the underlying awards. The weighted-average period over which such compensation is expected to be recognized is 0.6 years.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fair value of options granted during the years ended December 31, 2025 and 2024 was estimated using the Black-Scholes pricing model with the following assumptions:</w:t>
      </w:r>
    </w:p>
    <w:p>
      <w:pPr>
        <w:pStyle w:val="TextBody"/>
        <w:bidi w:val="0"/>
        <w:spacing w:before="0" w:after="0"/>
        <w:ind w:left="0" w:right="0" w:hanging="0"/>
        <w:jc w:val="left"/>
        <w:rPr/>
      </w:pPr>
      <w:r>
        <w:rPr/>
        <w:t>​</w:t>
      </w:r>
    </w:p>
    <w:tbl>
      <w:tblPr>
        <w:tblW w:w="7955" w:type="dxa"/>
        <w:jc w:val="left"/>
        <w:tblInd w:w="0" w:type="dxa"/>
        <w:tblLayout w:type="fixed"/>
        <w:tblCellMar>
          <w:top w:w="0" w:type="dxa"/>
          <w:left w:w="0" w:type="dxa"/>
          <w:bottom w:w="0" w:type="dxa"/>
          <w:right w:w="0" w:type="dxa"/>
        </w:tblCellMar>
      </w:tblPr>
      <w:tblGrid>
        <w:gridCol w:w="2626"/>
        <w:gridCol w:w="346"/>
        <w:gridCol w:w="109"/>
        <w:gridCol w:w="571"/>
        <w:gridCol w:w="526"/>
        <w:gridCol w:w="166"/>
        <w:gridCol w:w="571"/>
        <w:gridCol w:w="526"/>
        <w:gridCol w:w="109"/>
        <w:gridCol w:w="571"/>
        <w:gridCol w:w="526"/>
        <w:gridCol w:w="166"/>
        <w:gridCol w:w="571"/>
        <w:gridCol w:w="57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667510" cy="175260"/>
                      <wp:effectExtent l="0" t="0" r="0" b="0"/>
                      <wp:wrapNone/>
                      <wp:docPr id="372" name="Frame368"/>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3"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4"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62585" cy="175260"/>
                      <wp:effectExtent l="0" t="0" r="0" b="0"/>
                      <wp:wrapNone/>
                      <wp:docPr id="375" name="Frame3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34010" cy="175260"/>
                      <wp:effectExtent l="0" t="0" r="0" b="0"/>
                      <wp:wrapNone/>
                      <wp:docPr id="376" name="Frame37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05410" cy="175260"/>
                      <wp:effectExtent l="0" t="0" r="0" b="0"/>
                      <wp:wrapNone/>
                      <wp:docPr id="377" name="Frame37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62585" cy="175260"/>
                      <wp:effectExtent l="0" t="0" r="0" b="0"/>
                      <wp:wrapNone/>
                      <wp:docPr id="378" name="Frame3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334010" cy="175260"/>
                      <wp:effectExtent l="0" t="0" r="0" b="0"/>
                      <wp:wrapNone/>
                      <wp:docPr id="379" name="Frame37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0"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62585" cy="175260"/>
                      <wp:effectExtent l="0" t="0" r="0" b="0"/>
                      <wp:wrapNone/>
                      <wp:docPr id="381" name="Frame3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34010" cy="175260"/>
                      <wp:effectExtent l="0" t="0" r="0" b="0"/>
                      <wp:wrapNone/>
                      <wp:docPr id="382" name="Frame37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05410" cy="175260"/>
                      <wp:effectExtent l="0" t="0" r="0" b="0"/>
                      <wp:wrapNone/>
                      <wp:docPr id="383" name="Frame37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62585" cy="175260"/>
                      <wp:effectExtent l="0" t="0" r="0" b="0"/>
                      <wp:wrapNone/>
                      <wp:docPr id="384" name="Frame3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362585" cy="175260"/>
                      <wp:effectExtent l="0" t="0" r="0" b="0"/>
                      <wp:wrapNone/>
                      <wp:docPr id="385" name="Frame3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9" w:type="dxa"/>
            <w:gridSpan w:val="6"/>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9"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09"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of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used the historical volatility of its common stock to estimate volatility. The expected term of the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706" w:name="Tc_MNU58lBoQkqNpkSNwwOdrw_6_5"/>
      <w:bookmarkStart w:id="707" w:name="Tc_lag3CF_eCE6UhoBVQdPGYA_6_2"/>
      <w:bookmarkStart w:id="708" w:name="Tc_uDJ0Is1uxU6yPTq8EUedeg_6_0"/>
      <w:bookmarkStart w:id="709" w:name="Tc_XRWGyLiu7Eqlo_wf4Ut6zQ_5_0"/>
      <w:bookmarkStart w:id="710" w:name="Tc_6CjLrviFR0K79cPzIG4vFg_4_5"/>
      <w:bookmarkStart w:id="711" w:name="Tc_V01QtSODZESr_xlxa8-hBg_4_2"/>
      <w:bookmarkStart w:id="712" w:name="Tc_enbRt9fe6kyMPsCXZBblnw_4_0"/>
      <w:bookmarkStart w:id="713" w:name="Tc_0HEkl4Du2ky-_VPzhBSNRg_2_5"/>
      <w:bookmarkStart w:id="714" w:name="Tc_fQGrzca96EyysUMiW5GL7g_2_2"/>
      <w:bookmarkStart w:id="715" w:name="Tc_f0wxFcRNRkWmr7lvCod5bA_1_2"/>
      <w:bookmarkEnd w:id="706"/>
      <w:bookmarkEnd w:id="707"/>
      <w:bookmarkEnd w:id="708"/>
      <w:bookmarkEnd w:id="709"/>
      <w:bookmarkEnd w:id="710"/>
      <w:bookmarkEnd w:id="711"/>
      <w:bookmarkEnd w:id="712"/>
      <w:bookmarkEnd w:id="713"/>
      <w:bookmarkEnd w:id="714"/>
      <w:bookmarkEnd w:id="715"/>
      <w:r>
        <w:rPr>
          <w:rFonts w:ascii="Times New Roman;Times;serif" w:hAnsi="Times New Roman;Times;serif"/>
          <w:sz w:val="20"/>
        </w:rPr>
        <w:t>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recognized stock-based compensation expense related to awards issued under the 2017 Plan and the 2020 Plan, as well as the OnkosXcel PSUs and OnkosXcel RSU’s, of $2,767 and $6,156 for the years ended December 31, 2025 and 2024, respectively, which were comprised as follows:</w:t>
      </w:r>
    </w:p>
    <w:p>
      <w:pPr>
        <w:pStyle w:val="TextBody"/>
        <w:bidi w:val="0"/>
        <w:spacing w:before="0" w:after="0"/>
        <w:ind w:left="0" w:right="0" w:hanging="0"/>
        <w:jc w:val="left"/>
        <w:rPr/>
      </w:pPr>
      <w:r>
        <w:rPr/>
        <w:t>​</w:t>
      </w:r>
    </w:p>
    <w:tbl>
      <w:tblPr>
        <w:tblW w:w="5118" w:type="dxa"/>
        <w:jc w:val="left"/>
        <w:tblInd w:w="0" w:type="dxa"/>
        <w:tblLayout w:type="fixed"/>
        <w:tblCellMar>
          <w:top w:w="0" w:type="dxa"/>
          <w:left w:w="0" w:type="dxa"/>
          <w:bottom w:w="0" w:type="dxa"/>
          <w:right w:w="0" w:type="dxa"/>
        </w:tblCellMar>
      </w:tblPr>
      <w:tblGrid>
        <w:gridCol w:w="2956"/>
        <w:gridCol w:w="109"/>
        <w:gridCol w:w="242"/>
        <w:gridCol w:w="656"/>
        <w:gridCol w:w="125"/>
        <w:gridCol w:w="242"/>
        <w:gridCol w:w="788"/>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877060" cy="175260"/>
                      <wp:effectExtent l="0" t="0" r="0" b="0"/>
                      <wp:wrapNone/>
                      <wp:docPr id="386" name="Frame382"/>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7"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53670" cy="175260"/>
                      <wp:effectExtent l="0" t="0" r="0" b="0"/>
                      <wp:wrapNone/>
                      <wp:docPr id="388" name="Frame38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16560" cy="175260"/>
                      <wp:effectExtent l="0" t="0" r="0" b="0"/>
                      <wp:wrapNone/>
                      <wp:docPr id="389" name="Frame385"/>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79375" cy="175260"/>
                      <wp:effectExtent l="0" t="0" r="0" b="0"/>
                      <wp:wrapNone/>
                      <wp:docPr id="390" name="Frame386"/>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53670" cy="175260"/>
                      <wp:effectExtent l="0" t="0" r="0" b="0"/>
                      <wp:wrapNone/>
                      <wp:docPr id="391" name="Frame38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00380" cy="175260"/>
                      <wp:effectExtent l="0" t="0" r="0" b="0"/>
                      <wp:wrapNone/>
                      <wp:docPr id="392" name="Frame388"/>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9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5" w:type="dxa"/>
            <w:tcBorders/>
            <w:vAlign w:val="center"/>
          </w:tcPr>
          <w:p>
            <w:pPr>
              <w:pStyle w:val="TableContents"/>
              <w:bidi w:val="0"/>
              <w:spacing w:before="0" w:after="1"/>
              <w:ind w:left="0" w:right="0" w:hanging="0"/>
              <w:jc w:val="center"/>
              <w:rPr/>
            </w:pPr>
            <w:r>
              <w:rPr/>
              <w:t>​</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9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125"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center"/>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w:t>
            </w:r>
          </w:p>
        </w:tc>
        <w:tc>
          <w:tcPr>
            <w:tcW w:w="125"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3,905</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2,767</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6,156</w:t>
            </w:r>
          </w:p>
        </w:tc>
      </w:tr>
    </w:tbl>
    <w:p>
      <w:pPr>
        <w:pStyle w:val="TextBody"/>
        <w:bidi w:val="0"/>
        <w:spacing w:before="0" w:after="240"/>
        <w:ind w:left="0" w:right="0" w:firstLine="360"/>
        <w:jc w:val="left"/>
        <w:rPr/>
      </w:pPr>
      <w:r>
        <w:rPr/>
        <w:t>​</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2020 Employee Stock Purchase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6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31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31 shares and 19 shares on January 1, 2025 and 2024, respectively. To date, no shares have been sold under the ESPP. There were 106 shares available for issuance as of December 31, 2025. </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13. 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BTI leases office space for its corporate headquarters at 555 Long Wharf Drive, New Haven, Connecticut (the “HQ Lease”) under an operating lease that expires in February 2026. The Company has an option to renew the HQ Lease for one additional five-year term that has not been exercised as of December 31, 2025. Payments under the HQ Lease are fixed.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also leases equipment such as copiers and information technology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716" w:name="Tc_yz3tnp34IkW5iIt4Xl_e2A_9_3"/>
      <w:bookmarkStart w:id="717" w:name="Tc_3DkFISSORk-M6HIlwKOAig_9_2"/>
      <w:bookmarkStart w:id="718" w:name="Tc_WPJ38U_PpUKholcxTo0pOQ_9_0"/>
      <w:bookmarkStart w:id="719" w:name="Tc_gGmJ6xBguk2aMLywIIxoKw_8_0"/>
      <w:bookmarkStart w:id="720" w:name="Tc_DJNY4uaRhkm7FCVwf1qlBw_7_2"/>
      <w:bookmarkStart w:id="721" w:name="Tc_tp-bhhckpE6w4ilebrTRDw_7_0"/>
      <w:bookmarkStart w:id="722" w:name="Tc_H6URRtVPU0WnsZVk3GOeZw_6_3"/>
      <w:bookmarkStart w:id="723" w:name="Tc_BCt0ndVAekelxAG6xPU3HA_6_0"/>
      <w:bookmarkStart w:id="724" w:name="Tc_PU3Fcu-e10q8u7mcRGcgdw_5_2"/>
      <w:bookmarkStart w:id="725" w:name="Tc_vao6SIb510WD0n5d7PvZCA_5_0"/>
      <w:bookmarkStart w:id="726" w:name="Tc_TyaqVvJExUOiIfr9Xn4iGw_4_3"/>
      <w:bookmarkStart w:id="727" w:name="Tc_bkZNdmoJAUOrn8qukpGjpg_4_0"/>
      <w:bookmarkStart w:id="728" w:name="Tc_GajoDXvndk2NyNBtwQoE6w_3_2"/>
      <w:bookmarkStart w:id="729" w:name="Tc_IVDaaUkTX0qCSEKOsPVGjg_3_0"/>
      <w:bookmarkStart w:id="730" w:name="Tc_KE1aog74akuwmb-_-ipHVQ_1_2"/>
      <w:bookmarkStart w:id="731" w:name="Tc_Z0V3muBBAkqTy5e8sndKGw_1_0"/>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r>
        <w:rPr>
          <w:rFonts w:ascii="Times New Roman;Times;serif" w:hAnsi="Times New Roman;Times;serif"/>
          <w:sz w:val="20"/>
        </w:rPr>
        <w:t>The future minimum annual lease payments under operating leases, as of December 31, 2025, were as follows:</w:t>
      </w:r>
    </w:p>
    <w:p>
      <w:pPr>
        <w:pStyle w:val="TextBody"/>
        <w:bidi w:val="0"/>
        <w:spacing w:before="0" w:after="0"/>
        <w:ind w:left="0" w:right="0" w:hanging="0"/>
        <w:jc w:val="left"/>
        <w:rPr/>
      </w:pPr>
      <w:r>
        <w:rPr/>
        <w:t>​</w:t>
      </w:r>
    </w:p>
    <w:tbl>
      <w:tblPr>
        <w:tblW w:w="4893" w:type="dxa"/>
        <w:jc w:val="left"/>
        <w:tblInd w:w="0" w:type="dxa"/>
        <w:tblLayout w:type="fixed"/>
        <w:tblCellMar>
          <w:top w:w="0" w:type="dxa"/>
          <w:left w:w="0" w:type="dxa"/>
          <w:bottom w:w="0" w:type="dxa"/>
          <w:right w:w="0" w:type="dxa"/>
        </w:tblCellMar>
      </w:tblPr>
      <w:tblGrid>
        <w:gridCol w:w="3811"/>
        <w:gridCol w:w="346"/>
        <w:gridCol w:w="231"/>
        <w:gridCol w:w="505"/>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19985" cy="175260"/>
                      <wp:effectExtent l="0" t="0" r="0" b="0"/>
                      <wp:wrapNone/>
                      <wp:docPr id="393" name="Frame389"/>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4"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46685" cy="175260"/>
                      <wp:effectExtent l="0" t="0" r="0" b="0"/>
                      <wp:wrapNone/>
                      <wp:docPr id="395" name="Frame39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20675" cy="175260"/>
                      <wp:effectExtent l="0" t="0" r="0" b="0"/>
                      <wp:wrapNone/>
                      <wp:docPr id="396" name="Frame392"/>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center"/>
              <w:rPr/>
            </w:pPr>
            <w:r>
              <w:rPr/>
              <w:t>​</w:t>
            </w:r>
          </w:p>
        </w:tc>
        <w:tc>
          <w:tcPr>
            <w:tcW w:w="505" w:type="dxa"/>
            <w:tcBorders/>
            <w:vAlign w:val="center"/>
          </w:tcPr>
          <w:p>
            <w:pPr>
              <w:pStyle w:val="TableContents"/>
              <w:bidi w:val="0"/>
              <w:spacing w:before="0" w:after="0"/>
              <w:ind w:left="0" w:right="0" w:hanging="0"/>
              <w:jc w:val="center"/>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lease liability</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current portion of the Company’s operating lease liability of $65, as of December 31, 2025, is included in </w:t>
      </w:r>
      <w:r>
        <w:rPr>
          <w:rFonts w:ascii="Times New Roman;Times;serif" w:hAnsi="Times New Roman;Times;serif"/>
          <w:b w:val="false"/>
          <w:i w:val="false"/>
          <w:caps w:val="false"/>
          <w:smallCaps w:val="false"/>
          <w:sz w:val="20"/>
        </w:rPr>
        <w:t>Other current liabilities</w:t>
      </w:r>
      <w:r>
        <w:rPr>
          <w:rFonts w:ascii="Times New Roman;Times;serif" w:hAnsi="Times New Roman;Times;serif"/>
          <w:sz w:val="20"/>
        </w:rPr>
        <w:t xml:space="preserve"> on the Consolidated Balance Sheets.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Lease expense was $410 and $394 for the years ended December 31, 2025 and 2024,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Lease renewal options are not included in the ROU asset or lease liability.</w:t>
      </w:r>
    </w:p>
    <w:p>
      <w:pPr>
        <w:pStyle w:val="TextBody"/>
        <w:bidi w:val="0"/>
        <w:spacing w:before="0" w:after="24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14. Employee Benefit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maintains a defined contribution retirement plan for its employees that complies with Section 401(k) of the Internal Revenue Code (the “401(K) Plan”). Employees are eligible to participate in the 401(K) Plan and can contribute a portion of their pay into the 401(K) Plan, subject to annual limits established by the U.S. Internal Revenue Service. Participating employees receive an employer matching contribution equal to 50% of eligible employee contributions on the first 5% of eligible compensation contributed. Employer contributions to the 401(K) Plan were $176 and $289</w:t>
      </w:r>
      <w:r>
        <w:rPr>
          <w:rFonts w:ascii="Times New Roman;Times;serif" w:hAnsi="Times New Roman;Times;serif"/>
          <w:sz w:val="20"/>
          <w:shd w:fill="FFFFFF" w:val="clear"/>
        </w:rPr>
        <w:t xml:space="preserve"> for the years ended December 31, 2025 and 2024, respectively.</w:t>
      </w:r>
    </w:p>
    <w:p>
      <w:pPr>
        <w:pStyle w:val="TextBody"/>
        <w:bidi w:val="0"/>
        <w:spacing w:before="0" w:after="240"/>
        <w:ind w:left="0" w:right="0" w:firstLine="360"/>
        <w:jc w:val="left"/>
        <w:rPr>
          <w:shd w:fill="FFFFFF" w:val="clear"/>
        </w:rPr>
      </w:pPr>
      <w:r>
        <w:rPr>
          <w:shd w:fill="FFFFFF" w:val="clear"/>
        </w:rPr>
        <w:t>​</w:t>
      </w:r>
    </w:p>
    <w:p>
      <w:pPr>
        <w:pStyle w:val="TextBody"/>
        <w:bidi w:val="0"/>
        <w:spacing w:before="0" w:after="200"/>
        <w:ind w:left="0" w:right="0" w:hanging="0"/>
        <w:jc w:val="left"/>
        <w:rPr>
          <w:rFonts w:ascii="Times New Roman;Times;serif" w:hAnsi="Times New Roman;Times;serif"/>
          <w:b/>
          <w:sz w:val="20"/>
        </w:rPr>
      </w:pPr>
      <w:bookmarkStart w:id="732" w:name="Tc_uN5NZi7fQE2o_7xPYoV_oA_7_11"/>
      <w:bookmarkStart w:id="733" w:name="Tc_Sc8o1ZJ9WEmC9X_SE3wtCg_7_8"/>
      <w:bookmarkStart w:id="734" w:name="Tc_19CoI6nu9U-9Odyvjwc7-g_7_5"/>
      <w:bookmarkStart w:id="735" w:name="Tc_lEMwe4fJB0SVgvrshYNyLA_7_2"/>
      <w:bookmarkStart w:id="736" w:name="Tc_cGmQjBxIqU2oRUnKq-k7OQ_7_0"/>
      <w:bookmarkStart w:id="737" w:name="Tc_ggU_gWFBhkybw_5gavUOog_6_0"/>
      <w:bookmarkStart w:id="738" w:name="Tc_E2-uEUTHC0C37cAanK9I5g_5_11"/>
      <w:bookmarkStart w:id="739" w:name="Tc_ZA2WVSD3dkiovbp4nhE02A_5_8"/>
      <w:bookmarkStart w:id="740" w:name="Tc_kIO672mXyUi54ew24JbkGA_5_5"/>
      <w:bookmarkStart w:id="741" w:name="Tc_iF7fStutiEKMFaq4YZyVBg_5_2"/>
      <w:bookmarkStart w:id="742" w:name="Tc_8OkU6__Q0UGfBesjlIxb0Q_5_0"/>
      <w:bookmarkStart w:id="743" w:name="Tc__-4xq0CpNkmdcXhopACbuw_3_11"/>
      <w:bookmarkStart w:id="744" w:name="Tc_U-ONGcagB0-xTMoyoGeWBQ_3_8"/>
      <w:bookmarkStart w:id="745" w:name="Tc_gMAC2S83_E2NUO6154dbUg_3_5"/>
      <w:bookmarkStart w:id="746" w:name="Tc_Lrkc6NFbh0CdbkOyVmc7Bw_3_2"/>
      <w:bookmarkStart w:id="747" w:name="Tc_xMPAmzrYR0qHZPv2MoLebg_2_2"/>
      <w:bookmarkStart w:id="748" w:name="Tc_XuX7uIlr7UOTwmRwSou31g_1_2"/>
      <w:bookmarkStart w:id="749" w:name="_9a46bd27_9319_4583_83b1_f1cae431eee2"/>
      <w:bookmarkStart w:id="750" w:name="_c7bea151_e3b2_431b_bb35_c847a5bab492_3"/>
      <w:bookmarkStart w:id="751" w:name="_c7bea151_e3b2_431b_bb35_c847a5bab492_2"/>
      <w:bookmarkStart w:id="752" w:name="_c7bea151_e3b2_431b_bb35_c847a5bab492"/>
      <w:bookmarkStart w:id="753" w:name="_198a6e9a_faee_4b52_9911_5100fc770492_3"/>
      <w:bookmarkStart w:id="754" w:name="_198a6e9a_faee_4b52_9911_5100fc770492_2"/>
      <w:bookmarkStart w:id="755" w:name="_198a6e9a_faee_4b52_9911_5100fc770492"/>
      <w:bookmarkStart w:id="756" w:name="Narr_755TjX1wXkOYx7-kEcmXFQ"/>
      <w:bookmarkStart w:id="757" w:name="Narr_dk942_rNSUWC3QCxfQBpBQ"/>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r>
        <w:rPr>
          <w:rFonts w:ascii="Times New Roman;Times;serif" w:hAnsi="Times New Roman;Times;serif"/>
          <w:b/>
          <w:sz w:val="20"/>
        </w:rPr>
        <w:t>Note 15. Fair Value Measurements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groups its assets and liabilities measured at fair value in three levels based on the nature of the inputs and assumptions used to determine fair value. Refer to Note 3, </w:t>
      </w:r>
      <w:r>
        <w:rPr>
          <w:rFonts w:ascii="Times New Roman;Times;serif" w:hAnsi="Times New Roman;Times;serif"/>
          <w:i/>
          <w:sz w:val="20"/>
        </w:rPr>
        <w:t>Summary of Significant Accounting Policies</w:t>
      </w:r>
      <w:r>
        <w:rPr>
          <w:rFonts w:ascii="Times New Roman;Times;serif" w:hAnsi="Times New Roman;Times;serif"/>
          <w:sz w:val="20"/>
        </w:rPr>
        <w:t>, for additional information on the accounting policies related to fair value.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carrying amounts of Cash and cash equivalents, Accounts receivable, net and Accounts payable approximate fair value due to the short-term nature of these instruments. As of December 31, 2025 and 2024, the Company had $27,085 and $29,036, respectively, primarily in money market funds that hold U.S. government cash equivalent instruments (included in Cash and cash equivalents) which were valued based on Level 1 inputs. There were no transfers between levels within the hierarchy during the years ended December 31, 2025 and 2024.</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Derivative liabilities measured at fair value on a recurring basis are summarized below.</w:t>
      </w:r>
    </w:p>
    <w:p>
      <w:pPr>
        <w:pStyle w:val="TextBody"/>
        <w:bidi w:val="0"/>
        <w:spacing w:before="0" w:after="0"/>
        <w:ind w:left="0" w:right="0" w:hanging="0"/>
        <w:jc w:val="left"/>
        <w:rPr/>
      </w:pPr>
      <w:r>
        <w:rPr/>
        <w:t>​</w:t>
      </w:r>
    </w:p>
    <w:tbl>
      <w:tblPr>
        <w:tblW w:w="6873" w:type="dxa"/>
        <w:jc w:val="left"/>
        <w:tblInd w:w="0" w:type="dxa"/>
        <w:tblLayout w:type="fixed"/>
        <w:tblCellMar>
          <w:top w:w="0" w:type="dxa"/>
          <w:left w:w="0" w:type="dxa"/>
          <w:bottom w:w="0" w:type="dxa"/>
          <w:right w:w="0" w:type="dxa"/>
        </w:tblCellMar>
      </w:tblPr>
      <w:tblGrid>
        <w:gridCol w:w="3496"/>
        <w:gridCol w:w="109"/>
        <w:gridCol w:w="239"/>
        <w:gridCol w:w="391"/>
        <w:gridCol w:w="109"/>
        <w:gridCol w:w="211"/>
        <w:gridCol w:w="571"/>
        <w:gridCol w:w="109"/>
        <w:gridCol w:w="211"/>
        <w:gridCol w:w="421"/>
        <w:gridCol w:w="109"/>
        <w:gridCol w:w="211"/>
        <w:gridCol w:w="68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219960" cy="175260"/>
                      <wp:effectExtent l="0" t="0" r="0" b="0"/>
                      <wp:wrapNone/>
                      <wp:docPr id="397" name="Frame39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8"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51765" cy="175260"/>
                      <wp:effectExtent l="0" t="0" r="0" b="0"/>
                      <wp:wrapNone/>
                      <wp:docPr id="399" name="Frame39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48285" cy="175260"/>
                      <wp:effectExtent l="0" t="0" r="0" b="0"/>
                      <wp:wrapNone/>
                      <wp:docPr id="400" name="Frame39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401"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2"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62585" cy="175260"/>
                      <wp:effectExtent l="0" t="0" r="0" b="0"/>
                      <wp:wrapNone/>
                      <wp:docPr id="403" name="Frame3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4"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5"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67335" cy="175260"/>
                      <wp:effectExtent l="0" t="0" r="0" b="0"/>
                      <wp:wrapNone/>
                      <wp:docPr id="406" name="Frame40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7" name="Frame4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8"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35610" cy="175260"/>
                      <wp:effectExtent l="0" t="0" r="0" b="0"/>
                      <wp:wrapNone/>
                      <wp:docPr id="409" name="Frame40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 BTI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 OnkosXcel Warrants</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1,790</w:t>
            </w:r>
          </w:p>
        </w:tc>
      </w:tr>
    </w:tbl>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58" w:name="Tc_cTfNR1KoJ06wfouqc2KIoQ_8_3"/>
      <w:bookmarkStart w:id="759" w:name="Tc_7C_uE-a-RkinpUYgz_txMg_8_0"/>
      <w:bookmarkStart w:id="760" w:name="Tc_8yCaQi-mkkWp2uASoBLM5A_7_3"/>
      <w:bookmarkStart w:id="761" w:name="Tc_TeyfPpXYdk2J9VpXjZy8bQ_7_0"/>
      <w:bookmarkStart w:id="762" w:name="Tc_TtnspjSSs0CBPGbaGaAtyA_6_3"/>
      <w:bookmarkStart w:id="763" w:name="Tc_vLDKOVyv8Eum4-fuk4IAGQ_6_0"/>
      <w:bookmarkStart w:id="764" w:name="Tc_0J1DPd14IUCApbc65y-aYQ_5_3"/>
      <w:bookmarkStart w:id="765" w:name="Tc_cHpK_f27QU6UXu7lcG5lSA_5_0"/>
      <w:bookmarkStart w:id="766" w:name="Tc_FiwqpyvJb0mRvxQIRuJ-Eg_4_3"/>
      <w:bookmarkStart w:id="767" w:name="Tc_4FW0lg2OZEGSQA1Zj0Y3WQ_4_0"/>
      <w:bookmarkStart w:id="768" w:name="Tc_AtlsLrCFpUWCK1hmT4FDyQ_3_3"/>
      <w:bookmarkStart w:id="769" w:name="Tc_Y80n4aQYBEePTFx3TYpIaA_3_0"/>
      <w:bookmarkStart w:id="770" w:name="Tc_vwvXmWZPkEG-GzPyM8_mjA_1_2"/>
      <w:bookmarkStart w:id="771" w:name="_6b9bb593_b1f3_45ca_b18f_40c7d8d983cb"/>
      <w:bookmarkStart w:id="772" w:name="Tc_NAFEkFSpxESiwfXKcW8kfA_12_5"/>
      <w:bookmarkStart w:id="773" w:name="Tc_P4EeZHvK1E24-XS36D-_Jw_12_2"/>
      <w:bookmarkStart w:id="774" w:name="Tc_tWVX72QGKE-a0alJQpwgpg_12_0"/>
      <w:bookmarkStart w:id="775" w:name="Tc_4PvlkHHpdEG7hdSuXAnSUw_10_0"/>
      <w:bookmarkStart w:id="776" w:name="Tc_6Xi9EF8ByU2LvYrABonq5w_9_0"/>
      <w:bookmarkStart w:id="777" w:name="Tc_MRJqB0jdg0SyzeVcatpOeg_8_0"/>
      <w:bookmarkStart w:id="778" w:name="Tc_xhrwe75mWkeDg2Xddu_F_A_7_0"/>
      <w:bookmarkStart w:id="779" w:name="Tc_3svja-LvY0agrxHzSY1vZw_6_0"/>
      <w:bookmarkStart w:id="780" w:name="Tc_xKhWYZmIPkK8y1JjjnP5gA_5_5"/>
      <w:bookmarkStart w:id="781" w:name="Tc_iD87WIOzgEuxsR63b54RHg_5_2"/>
      <w:bookmarkStart w:id="782" w:name="Tc_J00EyLp3tkeLTdr41ITLoQ_5_0"/>
      <w:bookmarkStart w:id="783" w:name="Tc_X7QVdsv0RUmVFUU2Tmk_0Q_3_5"/>
      <w:bookmarkStart w:id="784" w:name="Tc_AcYhV9-z8USiQXt0Eg8RbA_3_2"/>
      <w:bookmarkStart w:id="785" w:name="Tc_80K1D55AYkWdJW30vd9aKA_2_2"/>
      <w:bookmarkStart w:id="786" w:name="Tc_jWS7SP33okOrLH8NGhSDDw_1_2"/>
      <w:bookmarkStart w:id="787" w:name="_250f3ea2_69e6_4a4b_bb5f_e6214034625f"/>
      <w:bookmarkStart w:id="788" w:name="Tc_Z-SUqjUpSECrfIEyQ_zl4A_8_11"/>
      <w:bookmarkStart w:id="789" w:name="Tc_3VCQ210CN0eWa139pQoPsQ_8_8"/>
      <w:bookmarkStart w:id="790" w:name="Tc_RVK-7P1W10STmbL7seWCcQ_8_5"/>
      <w:bookmarkStart w:id="791" w:name="Tc_nIYyvsOVdEGYKoLhfNgfyw_8_2"/>
      <w:bookmarkStart w:id="792" w:name="Tc_uM9EQ-aCLk6S36wfeI-dtw_8_0"/>
      <w:bookmarkStart w:id="793" w:name="Tc_cZc8D4L59kmwP90VCKUpig_7_0"/>
      <w:bookmarkStart w:id="794" w:name="Tc_RuU_Jv-uLUGy8dXIq38p5g_6_11"/>
      <w:bookmarkStart w:id="795" w:name="Tc_7QAQR9_1ZE-qEZM_ZKC9ZA_6_8"/>
      <w:bookmarkStart w:id="796" w:name="Tc_T-TFimWczkeQMrfgPaHKsQ_6_5"/>
      <w:bookmarkStart w:id="797" w:name="Tc_lcBrwnHqa0WMMuXlYlLD-g_6_2"/>
      <w:bookmarkStart w:id="798" w:name="Tc_ZXE_4aOn20avXZcH8lNxbw_6_0"/>
      <w:bookmarkStart w:id="799" w:name="Tc_RXIlLgbGeEaymks4VYG3uA_4_11"/>
      <w:bookmarkStart w:id="800" w:name="Tc_xcPzSvgQoE6ZD2FitiZPoQ_4_8"/>
      <w:bookmarkStart w:id="801" w:name="Tc_lSxDp7Fpg0263oGHw0ap3Q_4_5"/>
      <w:bookmarkStart w:id="802" w:name="Tc_bBUDaKaRQ0yrtrmJPBUU9A_4_2"/>
      <w:bookmarkStart w:id="803" w:name="Tc_DkURA9T5tk-IIU-QgbuW8w_2_2"/>
      <w:bookmarkStart w:id="804" w:name="Tc_C3nx1Jo3eU-6rlahAma3EQ_1_2"/>
      <w:bookmarkStart w:id="805" w:name="_29c2dead_25a4_4e44_b4a2_1ca08ed3a344"/>
      <w:bookmarkStart w:id="806" w:name="Tc_cTfNR1KoJ06wfouqc2KIoQ_8_3"/>
      <w:bookmarkStart w:id="807" w:name="Tc_7C_uE-a-RkinpUYgz_txMg_8_0"/>
      <w:bookmarkStart w:id="808" w:name="Tc_8yCaQi-mkkWp2uASoBLM5A_7_3"/>
      <w:bookmarkStart w:id="809" w:name="Tc_TeyfPpXYdk2J9VpXjZy8bQ_7_0"/>
      <w:bookmarkStart w:id="810" w:name="Tc_TtnspjSSs0CBPGbaGaAtyA_6_3"/>
      <w:bookmarkStart w:id="811" w:name="Tc_vLDKOVyv8Eum4-fuk4IAGQ_6_0"/>
      <w:bookmarkStart w:id="812" w:name="Tc_0J1DPd14IUCApbc65y-aYQ_5_3"/>
      <w:bookmarkStart w:id="813" w:name="Tc_cHpK_f27QU6UXu7lcG5lSA_5_0"/>
      <w:bookmarkStart w:id="814" w:name="Tc_FiwqpyvJb0mRvxQIRuJ-Eg_4_3"/>
      <w:bookmarkStart w:id="815" w:name="Tc_4FW0lg2OZEGSQA1Zj0Y3WQ_4_0"/>
      <w:bookmarkStart w:id="816" w:name="Tc_AtlsLrCFpUWCK1hmT4FDyQ_3_3"/>
      <w:bookmarkStart w:id="817" w:name="Tc_Y80n4aQYBEePTFx3TYpIaA_3_0"/>
      <w:bookmarkStart w:id="818" w:name="Tc_vwvXmWZPkEG-GzPyM8_mjA_1_2"/>
      <w:bookmarkStart w:id="819" w:name="_6b9bb593_b1f3_45ca_b18f_40c7d8d983cb"/>
      <w:bookmarkStart w:id="820" w:name="Tc_NAFEkFSpxESiwfXKcW8kfA_12_5"/>
      <w:bookmarkStart w:id="821" w:name="Tc_P4EeZHvK1E24-XS36D-_Jw_12_2"/>
      <w:bookmarkStart w:id="822" w:name="Tc_tWVX72QGKE-a0alJQpwgpg_12_0"/>
      <w:bookmarkStart w:id="823" w:name="Tc_4PvlkHHpdEG7hdSuXAnSUw_10_0"/>
      <w:bookmarkStart w:id="824" w:name="Tc_6Xi9EF8ByU2LvYrABonq5w_9_0"/>
      <w:bookmarkStart w:id="825" w:name="Tc_MRJqB0jdg0SyzeVcatpOeg_8_0"/>
      <w:bookmarkStart w:id="826" w:name="Tc_xhrwe75mWkeDg2Xddu_F_A_7_0"/>
      <w:bookmarkStart w:id="827" w:name="Tc_3svja-LvY0agrxHzSY1vZw_6_0"/>
      <w:bookmarkStart w:id="828" w:name="Tc_xKhWYZmIPkK8y1JjjnP5gA_5_5"/>
      <w:bookmarkStart w:id="829" w:name="Tc_iD87WIOzgEuxsR63b54RHg_5_2"/>
      <w:bookmarkStart w:id="830" w:name="Tc_J00EyLp3tkeLTdr41ITLoQ_5_0"/>
      <w:bookmarkStart w:id="831" w:name="Tc_X7QVdsv0RUmVFUU2Tmk_0Q_3_5"/>
      <w:bookmarkStart w:id="832" w:name="Tc_AcYhV9-z8USiQXt0Eg8RbA_3_2"/>
      <w:bookmarkStart w:id="833" w:name="Tc_80K1D55AYkWdJW30vd9aKA_2_2"/>
      <w:bookmarkStart w:id="834" w:name="Tc_jWS7SP33okOrLH8NGhSDDw_1_2"/>
      <w:bookmarkStart w:id="835" w:name="_250f3ea2_69e6_4a4b_bb5f_e6214034625f"/>
      <w:bookmarkStart w:id="836" w:name="Tc_Z-SUqjUpSECrfIEyQ_zl4A_8_11"/>
      <w:bookmarkStart w:id="837" w:name="Tc_3VCQ210CN0eWa139pQoPsQ_8_8"/>
      <w:bookmarkStart w:id="838" w:name="Tc_RVK-7P1W10STmbL7seWCcQ_8_5"/>
      <w:bookmarkStart w:id="839" w:name="Tc_nIYyvsOVdEGYKoLhfNgfyw_8_2"/>
      <w:bookmarkStart w:id="840" w:name="Tc_uM9EQ-aCLk6S36wfeI-dtw_8_0"/>
      <w:bookmarkStart w:id="841" w:name="Tc_cZc8D4L59kmwP90VCKUpig_7_0"/>
      <w:bookmarkStart w:id="842" w:name="Tc_RuU_Jv-uLUGy8dXIq38p5g_6_11"/>
      <w:bookmarkStart w:id="843" w:name="Tc_7QAQR9_1ZE-qEZM_ZKC9ZA_6_8"/>
      <w:bookmarkStart w:id="844" w:name="Tc_T-TFimWczkeQMrfgPaHKsQ_6_5"/>
      <w:bookmarkStart w:id="845" w:name="Tc_lcBrwnHqa0WMMuXlYlLD-g_6_2"/>
      <w:bookmarkStart w:id="846" w:name="Tc_ZXE_4aOn20avXZcH8lNxbw_6_0"/>
      <w:bookmarkStart w:id="847" w:name="Tc_RXIlLgbGeEaymks4VYG3uA_4_11"/>
      <w:bookmarkStart w:id="848" w:name="Tc_xcPzSvgQoE6ZD2FitiZPoQ_4_8"/>
      <w:bookmarkStart w:id="849" w:name="Tc_lSxDp7Fpg0263oGHw0ap3Q_4_5"/>
      <w:bookmarkStart w:id="850" w:name="Tc_bBUDaKaRQ0yrtrmJPBUU9A_4_2"/>
      <w:bookmarkStart w:id="851" w:name="Tc_DkURA9T5tk-IIU-QgbuW8w_2_2"/>
      <w:bookmarkStart w:id="852" w:name="Tc_C3nx1Jo3eU-6rlahAma3EQ_1_2"/>
      <w:bookmarkStart w:id="853" w:name="_29c2dead_25a4_4e44_b4a2_1ca08ed3a344"/>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tbl>
      <w:tblPr>
        <w:tblW w:w="6871" w:type="dxa"/>
        <w:jc w:val="left"/>
        <w:tblInd w:w="0" w:type="dxa"/>
        <w:tblLayout w:type="fixed"/>
        <w:tblCellMar>
          <w:top w:w="0" w:type="dxa"/>
          <w:left w:w="0" w:type="dxa"/>
          <w:bottom w:w="0" w:type="dxa"/>
          <w:right w:w="0" w:type="dxa"/>
        </w:tblCellMar>
      </w:tblPr>
      <w:tblGrid>
        <w:gridCol w:w="3496"/>
        <w:gridCol w:w="109"/>
        <w:gridCol w:w="239"/>
        <w:gridCol w:w="391"/>
        <w:gridCol w:w="109"/>
        <w:gridCol w:w="211"/>
        <w:gridCol w:w="571"/>
        <w:gridCol w:w="109"/>
        <w:gridCol w:w="239"/>
        <w:gridCol w:w="391"/>
        <w:gridCol w:w="109"/>
        <w:gridCol w:w="211"/>
        <w:gridCol w:w="68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219960" cy="175260"/>
                      <wp:effectExtent l="0" t="0" r="0" b="0"/>
                      <wp:wrapNone/>
                      <wp:docPr id="410" name="Frame406"/>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215" cy="175260"/>
                      <wp:effectExtent l="0" t="0" r="0" b="0"/>
                      <wp:wrapNone/>
                      <wp:docPr id="411" name="Frame4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51765" cy="175260"/>
                      <wp:effectExtent l="0" t="0" r="0" b="0"/>
                      <wp:wrapNone/>
                      <wp:docPr id="412" name="Frame40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48285" cy="175260"/>
                      <wp:effectExtent l="0" t="0" r="0" b="0"/>
                      <wp:wrapNone/>
                      <wp:docPr id="413" name="Frame40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9215" cy="175260"/>
                      <wp:effectExtent l="0" t="0" r="0" b="0"/>
                      <wp:wrapNone/>
                      <wp:docPr id="414"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5"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62585" cy="175260"/>
                      <wp:effectExtent l="0" t="0" r="0" b="0"/>
                      <wp:wrapNone/>
                      <wp:docPr id="416" name="Frame4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7" name="Frame4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51765" cy="175260"/>
                      <wp:effectExtent l="0" t="0" r="0" b="0"/>
                      <wp:wrapNone/>
                      <wp:docPr id="418" name="Frame41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48285" cy="175260"/>
                      <wp:effectExtent l="0" t="0" r="0" b="0"/>
                      <wp:wrapNone/>
                      <wp:docPr id="419" name="Frame41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0"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1"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35610" cy="175260"/>
                      <wp:effectExtent l="0" t="0" r="0" b="0"/>
                      <wp:wrapNone/>
                      <wp:docPr id="422" name="Frame41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 BTI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 - OnkosXcel Warrants</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6,633</w:t>
            </w:r>
          </w:p>
        </w:tc>
      </w:tr>
    </w:tbl>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Derivative liabilities are comprised of the OnkosXcel Warrants, BTI Warrants, and Option Warrants. The fair value of the derivative liabilities was determined using Binomial Option Pricing and Distribution models for the OnkosXcel Warrants and Option Warrants, and the Black Scholes model was used for the BTI Warrants. As discussed in Note 9, </w:t>
      </w:r>
      <w:r>
        <w:rPr>
          <w:rFonts w:ascii="Times New Roman;Times;serif" w:hAnsi="Times New Roman;Times;serif"/>
          <w:i/>
          <w:sz w:val="20"/>
        </w:rPr>
        <w:t>Debt and Credit Facilities</w:t>
      </w:r>
      <w:r>
        <w:rPr>
          <w:rFonts w:ascii="Times New Roman;Times;serif" w:hAnsi="Times New Roman;Times;serif"/>
          <w:sz w:val="20"/>
        </w:rPr>
        <w:t>, the Equity Investment Right was terminated on November 25, 2024 in connection with the Fifth Amendment to the Credit Agreement.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changes in Level 3 liabilities measured at fair value for the year ended December 31, 2025. Both observable and unobservable inputs were used to determine the fair value of positions that the Company has classified within the Level 3 category.</w:t>
      </w:r>
    </w:p>
    <w:p>
      <w:pPr>
        <w:pStyle w:val="TextBody"/>
        <w:bidi w:val="0"/>
        <w:spacing w:before="0" w:after="0"/>
        <w:ind w:left="0" w:right="0" w:firstLine="360"/>
        <w:jc w:val="left"/>
        <w:rPr/>
      </w:pPr>
      <w:r>
        <w:rPr/>
        <w:t>​</w:t>
      </w:r>
    </w:p>
    <w:tbl>
      <w:tblPr>
        <w:tblW w:w="9508" w:type="dxa"/>
        <w:jc w:val="left"/>
        <w:tblInd w:w="0" w:type="dxa"/>
        <w:tblLayout w:type="fixed"/>
        <w:tblCellMar>
          <w:top w:w="0" w:type="dxa"/>
          <w:left w:w="0" w:type="dxa"/>
          <w:bottom w:w="0" w:type="dxa"/>
          <w:right w:w="0" w:type="dxa"/>
        </w:tblCellMar>
      </w:tblPr>
      <w:tblGrid>
        <w:gridCol w:w="7336"/>
        <w:gridCol w:w="109"/>
        <w:gridCol w:w="211"/>
        <w:gridCol w:w="796"/>
        <w:gridCol w:w="109"/>
        <w:gridCol w:w="211"/>
        <w:gridCol w:w="736"/>
      </w:tblGrid>
      <w:tr>
        <w:trPr/>
        <w:tc>
          <w:tcPr>
            <w:tcW w:w="7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658360" cy="175260"/>
                      <wp:effectExtent l="0" t="0" r="0" b="0"/>
                      <wp:wrapNone/>
                      <wp:docPr id="423" name="Frame419"/>
                      <a:graphic xmlns:a="http://schemas.openxmlformats.org/drawingml/2006/main">
                        <a:graphicData uri="http://schemas.microsoft.com/office/word/2010/wordprocessingShape">
                          <wps:wsp>
                            <wps:cNvSpPr txBox="1"/>
                            <wps:spPr>
                              <a:xfrm>
                                <a:off x="0" y="0"/>
                                <a:ext cx="465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424"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5"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05460" cy="175260"/>
                      <wp:effectExtent l="0" t="0" r="0" b="0"/>
                      <wp:wrapNone/>
                      <wp:docPr id="426" name="Frame4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9215" cy="175260"/>
                      <wp:effectExtent l="0" t="0" r="0" b="0"/>
                      <wp:wrapNone/>
                      <wp:docPr id="427"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8"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67360" cy="175260"/>
                      <wp:effectExtent l="0" t="0" r="0" b="0"/>
                      <wp:wrapNone/>
                      <wp:docPr id="429" name="Frame42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3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20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733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7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Balance - January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w:t>
            </w:r>
          </w:p>
        </w:tc>
      </w:tr>
      <w:tr>
        <w:trPr/>
        <w:tc>
          <w:tcPr>
            <w:tcW w:w="7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of derivative liabilities - Equity Investment Right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r>
      <w:tr>
        <w:trPr/>
        <w:tc>
          <w:tcPr>
            <w:tcW w:w="7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 of derivative liabilities - BTI Warrant (March 2025 Accompanying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 of derivative liabilities - Option Warrant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of derivative liabilities - Option Warrant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derivative liabilities - BTI Warrant to permanent equity upon exercise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3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7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Balance - December 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derivative liabilities were reported at their fair values in the Consolidated Balance Sheets. The changes in the fair value of the derivative liabilities were reported as losses in the amount of $3,505 for the year ended December 31, 2025, and gains in the amount of $20,181 for the year ended December 31, 2024 in the Consolidated Statements of Operations as Other (income) expense, net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Inputs used to calculate the estimated fair value of the Equity Investment Right were as follows:</w:t>
      </w:r>
    </w:p>
    <w:p>
      <w:pPr>
        <w:pStyle w:val="TextBody"/>
        <w:bidi w:val="0"/>
        <w:spacing w:before="0" w:after="0"/>
        <w:ind w:left="0" w:right="0" w:hanging="0"/>
        <w:jc w:val="left"/>
        <w:rPr/>
      </w:pPr>
      <w:r>
        <w:rPr/>
        <w:t>​</w:t>
      </w:r>
    </w:p>
    <w:tbl>
      <w:tblPr>
        <w:tblW w:w="6695" w:type="dxa"/>
        <w:jc w:val="left"/>
        <w:tblInd w:w="0" w:type="dxa"/>
        <w:tblLayout w:type="fixed"/>
        <w:tblCellMar>
          <w:top w:w="0" w:type="dxa"/>
          <w:left w:w="0" w:type="dxa"/>
          <w:bottom w:w="0" w:type="dxa"/>
          <w:right w:w="0" w:type="dxa"/>
        </w:tblCellMar>
      </w:tblPr>
      <w:tblGrid>
        <w:gridCol w:w="4666"/>
        <w:gridCol w:w="109"/>
        <w:gridCol w:w="960"/>
        <w:gridCol w:w="960"/>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962910" cy="175260"/>
                      <wp:effectExtent l="0" t="0" r="0" b="0"/>
                      <wp:wrapNone/>
                      <wp:docPr id="430" name="Frame426"/>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9215" cy="175260"/>
                      <wp:effectExtent l="0" t="0" r="0" b="0"/>
                      <wp:wrapNone/>
                      <wp:docPr id="431"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09600" cy="175260"/>
                      <wp:effectExtent l="0" t="0" r="0" b="0"/>
                      <wp:wrapNone/>
                      <wp:docPr id="432" name="Frame428"/>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09600" cy="175260"/>
                      <wp:effectExtent l="0" t="0" r="0" b="0"/>
                      <wp:wrapNone/>
                      <wp:docPr id="433" name="Frame429"/>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Investment Right</w:t>
            </w:r>
          </w:p>
        </w:tc>
      </w:tr>
      <w:tr>
        <w:trPr/>
        <w:tc>
          <w:tcPr>
            <w:tcW w:w="4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center"/>
              <w:rPr/>
            </w:pPr>
            <w:r>
              <w:rPr/>
              <w:t>​</w:t>
            </w:r>
          </w:p>
        </w:tc>
        <w:tc>
          <w:tcPr>
            <w:tcW w:w="960" w:type="dxa"/>
            <w:tcBorders/>
            <w:vAlign w:val="center"/>
          </w:tcPr>
          <w:p>
            <w:pPr>
              <w:pStyle w:val="TableContents"/>
              <w:bidi w:val="0"/>
              <w:spacing w:before="0" w:after="0"/>
              <w:ind w:left="0" w:right="0" w:hanging="0"/>
              <w:jc w:val="center"/>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 relative to volume weighted 30-day average</w:t>
            </w:r>
          </w:p>
        </w:tc>
        <w:tc>
          <w:tcPr>
            <w:tcW w:w="109"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w:t>
            </w:r>
          </w:p>
        </w:tc>
        <w:tc>
          <w:tcPr>
            <w:tcW w:w="109"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c>
          <w:tcPr>
            <w:tcW w:w="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exercise</w:t>
            </w:r>
          </w:p>
        </w:tc>
        <w:tc>
          <w:tcPr>
            <w:tcW w:w="109"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period</w:t>
            </w:r>
          </w:p>
        </w:tc>
        <w:tc>
          <w:tcPr>
            <w:tcW w:w="109"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premium to 30-day average</w:t>
            </w:r>
          </w:p>
        </w:tc>
        <w:tc>
          <w:tcPr>
            <w:tcW w:w="109"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109"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changes in fair value of the Equity Investment Right up to its termination date were recorded in the Consolidated Statements of Operations as Other (income) expense, net. The final carrying value of the Equity Investment Right of $1,263 upon derecognition was recorded as a reduction of derivative liability with the offset recorded as a gain in Other (income) expense, net, in the Consolidated Statements of Operations for the year ended December 31,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854" w:name="Tc_ik2oWf135kmEzsTHEAkGuA_13_0"/>
      <w:bookmarkStart w:id="855" w:name="Tc_Dbq6rlK9x0GwbGCKmZGk7A_12_11"/>
      <w:bookmarkStart w:id="856" w:name="Tc_ziAaNBDCpEW3lDGSaZYHTQ_12_6"/>
      <w:bookmarkStart w:id="857" w:name="Tc_KeN_3Il4VEqL3vNMS0ZsVw_12_4"/>
      <w:bookmarkStart w:id="858" w:name="Tc_XzivDGWgbEenyDAFQzkGqA_12_2"/>
      <w:bookmarkStart w:id="859" w:name="Tc_Tubw0wYIrUaUj3KIbU1jMQ_12_0"/>
      <w:bookmarkStart w:id="860" w:name="Tc_M8T54txJMUStwD2-wnST9A_11_11"/>
      <w:bookmarkStart w:id="861" w:name="Tc_N78RZNYdUEKHWjg5LMyf7w_11_6"/>
      <w:bookmarkStart w:id="862" w:name="Tc_47ySV6khS06tJhOx3XVP-Q_11_4"/>
      <w:bookmarkStart w:id="863" w:name="Tc_69_e1di-cE-iPRmNmOta6g_11_2"/>
      <w:bookmarkStart w:id="864" w:name="Tc_kK-a3v34FUKZQzOIFuxLEg_11_0"/>
      <w:bookmarkStart w:id="865" w:name="Tc_8Ul9tf31WUKmTwd1eXScJw_10_11"/>
      <w:bookmarkStart w:id="866" w:name="Tc_vxXNOw7h8ku-gMVkP_kdkw_10_6"/>
      <w:bookmarkStart w:id="867" w:name="Tc_wrcWsWyDUUCugK6d6Lqo9Q_10_4"/>
      <w:bookmarkStart w:id="868" w:name="Tc_EfcT4Ppna0W7TCtnmyw67g_10_2"/>
      <w:bookmarkStart w:id="869" w:name="Tc_lfvKPTBFaEa98Cw9wuqViA_10_0"/>
      <w:bookmarkStart w:id="870" w:name="Tc_k-7X_zTaV0ulju_5WF7_tQ_9_11"/>
      <w:bookmarkStart w:id="871" w:name="Tc_QzWpVJm5_kOMeuysiR0Vuw_9_6"/>
      <w:bookmarkStart w:id="872" w:name="Tc_KxoxM5uR3k2Yn5LfW_5feA_9_4"/>
      <w:bookmarkStart w:id="873" w:name="Tc_5HQ7zuQ90k6QkPSmc5GRmg_9_2"/>
      <w:bookmarkStart w:id="874" w:name="Tc_X4gesfcjMEKHN3kIRidn8A_9_0"/>
      <w:bookmarkStart w:id="875" w:name="Tc_WzqMqm_2sE6gv4mv88ipLw_8_11"/>
      <w:bookmarkStart w:id="876" w:name="Tc_yKzC0gklwUmrEiPzjWZ2Hw_8_6"/>
      <w:bookmarkStart w:id="877" w:name="Tc_t3HkRfBx6UqExKGxU7CJpA_8_4"/>
      <w:bookmarkStart w:id="878" w:name="Tc_ZAS-z5hhd0i7sJyuqPnuuA_8_2"/>
      <w:bookmarkStart w:id="879" w:name="Tc_9daAeOIa5kmuN7Dk3JeokA_8_0"/>
      <w:bookmarkStart w:id="880" w:name="Tc_7mQBFP6ErUyxmfDQ1gfCmQ_7_11"/>
      <w:bookmarkStart w:id="881" w:name="Tc_2A0_ybVN6kuJFNLua17V5g_7_6"/>
      <w:bookmarkStart w:id="882" w:name="Tc_tBG6cf9P1Eyf9fcXBRFADw_7_4"/>
      <w:bookmarkStart w:id="883" w:name="Tc_vBfZfNvUP0KF9XQgDCEZJw_7_2"/>
      <w:bookmarkStart w:id="884" w:name="Tc_KIvIZnxT70eJnkJnihhSSg_7_0"/>
      <w:bookmarkStart w:id="885" w:name="Tc_VdrKKwbuL0-rsSCmwMlWaw_6_11"/>
      <w:bookmarkStart w:id="886" w:name="Tc_6fG27yST6UeJhdt-OFPkQg_6_6"/>
      <w:bookmarkStart w:id="887" w:name="Tc_v5HlA5Fv_UCS5QhNmr5Ktg_6_4"/>
      <w:bookmarkStart w:id="888" w:name="Tc_MegEuMLPgUi1cPxjMOmNqA_6_2"/>
      <w:bookmarkStart w:id="889" w:name="Tc_QDr0KzFEP0O9TpPfGQ9dMg_6_0"/>
      <w:bookmarkStart w:id="890" w:name="Tc_Q2pk0yBzKkSyBrNoMVFiIQ_5_11"/>
      <w:bookmarkStart w:id="891" w:name="Tc_aA6NbD6XlkGHQzi7MX5Cig_5_6"/>
      <w:bookmarkStart w:id="892" w:name="Tc_q6xc3Nko5kipLYj90h1cEQ_5_4"/>
      <w:bookmarkStart w:id="893" w:name="Tc_JtA30ro9JkGBjABdPBILeA_5_2"/>
      <w:bookmarkStart w:id="894" w:name="Tc_Tk3XFrlQ5kGc9ti3q-tFfQ_5_0"/>
      <w:bookmarkStart w:id="895" w:name="Tc_BO5wPDgKLUCXtYMZVclVKA_4_11"/>
      <w:bookmarkStart w:id="896" w:name="Tc_iAzldNqUo0WX8eb3cqfZnA_4_6"/>
      <w:bookmarkStart w:id="897" w:name="Tc_tgQTEvp4xE6M-_kt8DT4MQ_4_4"/>
      <w:bookmarkStart w:id="898" w:name="Tc_EtBht6DhhkGbZzEyfEDk_Q_4_2"/>
      <w:bookmarkStart w:id="899" w:name="Tc_G-CTHlGGp0C-9RnmbGXPBA_4_0"/>
      <w:bookmarkStart w:id="900" w:name="Tc_xkUVCRoGpUSbGIeI9hpLuQ_3_11"/>
      <w:bookmarkStart w:id="901" w:name="Tc_FjAY-zG4M0ybSIM5iH5Wqw_3_6"/>
      <w:bookmarkStart w:id="902" w:name="Tc_aGrQgSkZdU6oxGjQ_7hcyA_3_4"/>
      <w:bookmarkStart w:id="903" w:name="Tc_P-kEjjWkKUGIcyONRtUiTw_3_2"/>
      <w:bookmarkStart w:id="904" w:name="Tc_OLpRCDtR802HUTfFGAlmeA_3_0"/>
      <w:bookmarkStart w:id="905" w:name="Tc_iczjqdvfPUS3xHuyuD7bLQ_1_11"/>
      <w:bookmarkStart w:id="906" w:name="Tc_3yqqCMUM7kivVwAdJlffeA_1_9"/>
      <w:bookmarkStart w:id="907" w:name="Tc_HZk6vPyzhEaA3PtVyan4_A_1_6"/>
      <w:bookmarkStart w:id="908" w:name="Tc_1NA7fsT3k0SPpszG3AeKJw_1_4"/>
      <w:bookmarkStart w:id="909" w:name="Tc_l40zleCui0ifRqixBf3Zlw_1_2"/>
      <w:bookmarkStart w:id="910" w:name="Tc_KLdZKFJSRk-3BhFYCHmYAQ_1_0"/>
      <w:bookmarkStart w:id="911" w:name="_f6875a81_f354_456a_9a1b_723f418e105f"/>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sz w:val="20"/>
        </w:rPr>
        <w:t xml:space="preserve">In estimating the fair value of the derivative liability related to the OnkosXcel Warrants, inputs included third-party fair value estimates of OnkosXcel limited liability company units along with the volatility of those units based on the historical volatility of the Company’s stock, along with a peer group of comparable publicly traded companies), and the timing and probability of the relevant capital transactions occurring. As of December 31, 2025, the OnkosXcel Warrants had no fair value, as the Company does not anticipate a public offering of OnkosXcel at this time.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estimating the fair value of the derivative liability related to the Option Warrants, the valuation inputs used were a strike price of $3.50, the Company’s stock price of $2.70, volatility of 39.2% (adjusted to set the value of securities in the March 2025 Offering equal to the consideration paid), a term of 0.04 years and a risk-free rate of 4.39%. The Option Warrants expired on March 18, 2025 without being exercised, and the Company recorded a termination gain of $369 in Other (income) expense, net, in the Company’s Consolidated Statements of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estimating the fair value of the derivative liability related to the BTI Warrants – March 2025 Accompanying Warrants, the valuation inputs used were a strike price of $4.20, the Company’s stock price of $2.70, volatility of 39.2% (adjusted to set the value of securities in the March 2025 Offering equal to the consideration paid), a term of 5 years and a risk-free rate of 4.01%. As the fair value measurement of the derivative liability related to the BTI Warrants – March 2025 Warrants is classified within Level 3 of the fair value hierarchy and relies on a significant unobservable input (volatility), the resulting fair value is subject to inherent measurement uncertainty. Reasonably possible changes in the volatility assumption at the reporting date could have resulted in a significantly higher or lower fair value measurement and increases in volatility would generally increase the fair value of the warrant liability while decreases in volatility would reduce it. The Company remeasured the fair value of the remaining warrants at December 31, 2025 of $354, and for the year ended December 31, 2025 recorded a net gain of $849 within Other (income) expense, net in the Company’s Consolidated Statements of Operations. The valuation inputs used as of December 31, 2025 were a strike price of $4.20, the Company’s stock price of $1.60, volatility of 44.48%, term of 4.2 years and risk-free rate of 3.66%.</w:t>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estimated fair value of the Credit Agreement as of December 31, 2025, was $107,850. Both observable and unobservable inputs were used to determine the fair value of long-term debt, which was classified within the Level 3 category.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presents the BTI warrants issued by the Company and the corresponding balance sheet classification: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05"/>
        <w:gridCol w:w="109"/>
        <w:gridCol w:w="2478"/>
        <w:gridCol w:w="109"/>
        <w:gridCol w:w="784"/>
        <w:gridCol w:w="109"/>
        <w:gridCol w:w="278"/>
        <w:gridCol w:w="725"/>
        <w:gridCol w:w="109"/>
        <w:gridCol w:w="1395"/>
        <w:gridCol w:w="109"/>
        <w:gridCol w:w="1395"/>
      </w:tblGrid>
      <w:tr>
        <w:trPr/>
        <w:tc>
          <w:tcPr>
            <w:tcW w:w="2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654175" cy="175260"/>
                      <wp:effectExtent l="0" t="0" r="0" b="0"/>
                      <wp:wrapNone/>
                      <wp:docPr id="434" name="Frame430"/>
                      <a:graphic xmlns:a="http://schemas.openxmlformats.org/drawingml/2006/main">
                        <a:graphicData uri="http://schemas.microsoft.com/office/word/2010/wordprocessingShape">
                          <wps:wsp>
                            <wps:cNvSpPr txBox="1"/>
                            <wps:spPr>
                              <a:xfrm>
                                <a:off x="0" y="0"/>
                                <a:ext cx="165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5" name="Frame4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573530" cy="175260"/>
                      <wp:effectExtent l="0" t="0" r="0" b="0"/>
                      <wp:wrapNone/>
                      <wp:docPr id="436" name="Frame432"/>
                      <a:graphic xmlns:a="http://schemas.openxmlformats.org/drawingml/2006/main">
                        <a:graphicData uri="http://schemas.microsoft.com/office/word/2010/wordprocessingShape">
                          <wps:wsp>
                            <wps:cNvSpPr txBox="1"/>
                            <wps:spPr>
                              <a:xfrm>
                                <a:off x="0" y="0"/>
                                <a:ext cx="157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7" name="Frame4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97840" cy="175260"/>
                      <wp:effectExtent l="0" t="0" r="0" b="0"/>
                      <wp:wrapNone/>
                      <wp:docPr id="438" name="Frame434"/>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215" cy="175260"/>
                      <wp:effectExtent l="0" t="0" r="0" b="0"/>
                      <wp:wrapNone/>
                      <wp:docPr id="439"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76530" cy="175260"/>
                      <wp:effectExtent l="0" t="0" r="0" b="0"/>
                      <wp:wrapNone/>
                      <wp:docPr id="440" name="Frame43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60375" cy="175260"/>
                      <wp:effectExtent l="0" t="0" r="0" b="0"/>
                      <wp:wrapNone/>
                      <wp:docPr id="441" name="Frame437"/>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9215" cy="175260"/>
                      <wp:effectExtent l="0" t="0" r="0" b="0"/>
                      <wp:wrapNone/>
                      <wp:docPr id="442"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885825" cy="175260"/>
                      <wp:effectExtent l="0" t="0" r="0" b="0"/>
                      <wp:wrapNone/>
                      <wp:docPr id="443" name="Frame439"/>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9215" cy="175260"/>
                      <wp:effectExtent l="0" t="0" r="0" b="0"/>
                      <wp:wrapNone/>
                      <wp:docPr id="444" name="Frame4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885825" cy="175260"/>
                      <wp:effectExtent l="0" t="0" r="0" b="0"/>
                      <wp:wrapNone/>
                      <wp:docPr id="445" name="Frame441"/>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Warrant Recipient</w:t>
            </w:r>
          </w:p>
        </w:tc>
        <w:tc>
          <w:tcPr>
            <w:tcW w:w="109" w:type="dxa"/>
            <w:tcBorders/>
            <w:vAlign w:val="center"/>
          </w:tcPr>
          <w:p>
            <w:pPr>
              <w:pStyle w:val="TableContents"/>
              <w:bidi w:val="0"/>
              <w:spacing w:before="0" w:after="0"/>
              <w:ind w:left="0" w:right="0" w:hanging="0"/>
              <w:jc w:val="left"/>
              <w:rPr/>
            </w:pPr>
            <w:r>
              <w:rPr/>
              <w:t>​</w:t>
            </w:r>
          </w:p>
        </w:tc>
        <w:tc>
          <w:tcPr>
            <w:tcW w:w="24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Type</w:t>
            </w:r>
          </w:p>
        </w:tc>
        <w:tc>
          <w:tcPr>
            <w:tcW w:w="109" w:type="dxa"/>
            <w:tcBorders/>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109" w:type="dxa"/>
            <w:tcBorders/>
            <w:vAlign w:val="center"/>
          </w:tcPr>
          <w:p>
            <w:pPr>
              <w:pStyle w:val="TableContents"/>
              <w:bidi w:val="0"/>
              <w:spacing w:before="0" w:after="0"/>
              <w:ind w:left="0" w:right="0" w:hanging="0"/>
              <w:jc w:val="center"/>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Warrants</w:t>
            </w:r>
          </w:p>
        </w:tc>
        <w:tc>
          <w:tcPr>
            <w:tcW w:w="109" w:type="dxa"/>
            <w:tcBorders/>
            <w:vAlign w:val="center"/>
          </w:tcPr>
          <w:p>
            <w:pPr>
              <w:pStyle w:val="TableContents"/>
              <w:bidi w:val="0"/>
              <w:spacing w:before="0" w:after="0"/>
              <w:ind w:left="0" w:right="0" w:hanging="0"/>
              <w:jc w:val="center"/>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r>
      <w:tr>
        <w:trPr/>
        <w:tc>
          <w:tcPr>
            <w:tcW w:w="26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9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95" w:type="dxa"/>
            <w:tcBorders/>
            <w:vAlign w:val="center"/>
          </w:tcPr>
          <w:p>
            <w:pPr>
              <w:pStyle w:val="TableContents"/>
              <w:bidi w:val="0"/>
              <w:spacing w:before="0" w:after="0"/>
              <w:ind w:left="0" w:right="0" w:hanging="0"/>
              <w:jc w:val="center"/>
              <w:rPr/>
            </w:pPr>
            <w:r>
              <w:rPr/>
              <w:t>​</w:t>
            </w:r>
          </w:p>
        </w:tc>
      </w:tr>
      <w:tr>
        <w:trPr/>
        <w:tc>
          <w:tcPr>
            <w:tcW w:w="26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Lenders and Purchasers</w:t>
            </w:r>
          </w:p>
        </w:tc>
        <w:tc>
          <w:tcPr>
            <w:tcW w:w="109" w:type="dxa"/>
            <w:tcBorders/>
            <w:shd w:fill="CCEEFF" w:val="clear"/>
            <w:vAlign w:val="center"/>
          </w:tcPr>
          <w:p>
            <w:pPr>
              <w:pStyle w:val="TableContents"/>
              <w:bidi w:val="0"/>
              <w:spacing w:before="0" w:after="0"/>
              <w:ind w:left="0" w:right="0" w:hanging="0"/>
              <w:jc w:val="left"/>
              <w:rPr/>
            </w:pPr>
            <w:r>
              <w:rPr/>
              <w:t>​</w:t>
            </w:r>
          </w:p>
        </w:tc>
        <w:tc>
          <w:tcPr>
            <w:tcW w:w="2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Closing Date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4/19/2022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6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Lenders and Purchasers</w:t>
            </w:r>
          </w:p>
        </w:tc>
        <w:tc>
          <w:tcPr>
            <w:tcW w:w="109" w:type="dxa"/>
            <w:tcBorders/>
            <w:vAlign w:val="center"/>
          </w:tcPr>
          <w:p>
            <w:pPr>
              <w:pStyle w:val="TableContents"/>
              <w:bidi w:val="0"/>
              <w:spacing w:before="0" w:after="0"/>
              <w:ind w:left="0" w:right="0" w:hanging="0"/>
              <w:jc w:val="left"/>
              <w:rPr/>
            </w:pPr>
            <w:r>
              <w:rPr/>
              <w:t>​</w:t>
            </w:r>
          </w:p>
        </w:tc>
        <w:tc>
          <w:tcPr>
            <w:tcW w:w="2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2023 Warrants</w:t>
            </w:r>
          </w:p>
        </w:tc>
        <w:tc>
          <w:tcPr>
            <w:tcW w:w="10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12/5/2023</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6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Lenders and Purchasers</w:t>
            </w:r>
          </w:p>
        </w:tc>
        <w:tc>
          <w:tcPr>
            <w:tcW w:w="109" w:type="dxa"/>
            <w:tcBorders/>
            <w:shd w:fill="CCEEFF" w:val="clear"/>
            <w:vAlign w:val="center"/>
          </w:tcPr>
          <w:p>
            <w:pPr>
              <w:pStyle w:val="TableContents"/>
              <w:bidi w:val="0"/>
              <w:spacing w:before="0" w:after="0"/>
              <w:ind w:left="0" w:right="0" w:hanging="0"/>
              <w:jc w:val="left"/>
              <w:rPr/>
            </w:pPr>
            <w:r>
              <w:rPr/>
              <w:t>​</w:t>
            </w:r>
          </w:p>
        </w:tc>
        <w:tc>
          <w:tcPr>
            <w:tcW w:w="2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2024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3/20/2024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w:t>
            </w:r>
          </w:p>
        </w:tc>
      </w:tr>
      <w:tr>
        <w:trPr/>
        <w:tc>
          <w:tcPr>
            <w:tcW w:w="26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Armistice Capital Master Fund Ltd.</w:t>
            </w:r>
          </w:p>
        </w:tc>
        <w:tc>
          <w:tcPr>
            <w:tcW w:w="109" w:type="dxa"/>
            <w:tcBorders/>
            <w:vAlign w:val="center"/>
          </w:tcPr>
          <w:p>
            <w:pPr>
              <w:pStyle w:val="TableContents"/>
              <w:bidi w:val="0"/>
              <w:spacing w:before="0" w:after="0"/>
              <w:ind w:left="0" w:right="0" w:hanging="0"/>
              <w:jc w:val="left"/>
              <w:rPr/>
            </w:pPr>
            <w:r>
              <w:rPr/>
              <w:t>​</w:t>
            </w:r>
          </w:p>
        </w:tc>
        <w:tc>
          <w:tcPr>
            <w:tcW w:w="2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Accompanying Warrants</w:t>
            </w:r>
          </w:p>
        </w:tc>
        <w:tc>
          <w:tcPr>
            <w:tcW w:w="10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3/27/2024</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9.136</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6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Armistice Capital Master Fund Ltd.</w:t>
            </w:r>
          </w:p>
        </w:tc>
        <w:tc>
          <w:tcPr>
            <w:tcW w:w="109" w:type="dxa"/>
            <w:tcBorders/>
            <w:shd w:fill="CCEEFF" w:val="clear"/>
            <w:vAlign w:val="center"/>
          </w:tcPr>
          <w:p>
            <w:pPr>
              <w:pStyle w:val="TableContents"/>
              <w:bidi w:val="0"/>
              <w:spacing w:before="0" w:after="0"/>
              <w:ind w:left="0" w:right="0" w:hanging="0"/>
              <w:jc w:val="left"/>
              <w:rPr/>
            </w:pPr>
            <w:r>
              <w:rPr/>
              <w:t>​</w:t>
            </w:r>
          </w:p>
        </w:tc>
        <w:tc>
          <w:tcPr>
            <w:tcW w:w="2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Accompanying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3/27/2024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51.20</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6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Armistice Capital Master Fund Ltd.</w:t>
            </w:r>
          </w:p>
        </w:tc>
        <w:tc>
          <w:tcPr>
            <w:tcW w:w="109" w:type="dxa"/>
            <w:tcBorders/>
            <w:vAlign w:val="center"/>
          </w:tcPr>
          <w:p>
            <w:pPr>
              <w:pStyle w:val="TableContents"/>
              <w:bidi w:val="0"/>
              <w:spacing w:before="0" w:after="0"/>
              <w:ind w:left="0" w:right="0" w:hanging="0"/>
              <w:jc w:val="left"/>
              <w:rPr/>
            </w:pPr>
            <w:r>
              <w:rPr/>
              <w:t>​</w:t>
            </w:r>
          </w:p>
        </w:tc>
        <w:tc>
          <w:tcPr>
            <w:tcW w:w="2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2024 Accompanying Warrants</w:t>
            </w:r>
          </w:p>
        </w:tc>
        <w:tc>
          <w:tcPr>
            <w:tcW w:w="10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11/25/2024</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6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Heights Capital Management</w:t>
            </w:r>
          </w:p>
        </w:tc>
        <w:tc>
          <w:tcPr>
            <w:tcW w:w="109" w:type="dxa"/>
            <w:tcBorders/>
            <w:shd w:fill="CCEEFF" w:val="clear"/>
            <w:vAlign w:val="center"/>
          </w:tcPr>
          <w:p>
            <w:pPr>
              <w:pStyle w:val="TableContents"/>
              <w:bidi w:val="0"/>
              <w:spacing w:before="0" w:after="0"/>
              <w:ind w:left="0" w:right="0" w:hanging="0"/>
              <w:jc w:val="left"/>
              <w:rPr/>
            </w:pPr>
            <w:r>
              <w:rPr/>
              <w:t>​</w:t>
            </w:r>
          </w:p>
        </w:tc>
        <w:tc>
          <w:tcPr>
            <w:tcW w:w="2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2024 Accompanying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11/25/2024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6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Hudson Bay Capital Management</w:t>
            </w:r>
          </w:p>
        </w:tc>
        <w:tc>
          <w:tcPr>
            <w:tcW w:w="109" w:type="dxa"/>
            <w:tcBorders/>
            <w:vAlign w:val="center"/>
          </w:tcPr>
          <w:p>
            <w:pPr>
              <w:pStyle w:val="TableContents"/>
              <w:bidi w:val="0"/>
              <w:spacing w:before="0" w:after="0"/>
              <w:ind w:left="0" w:right="0" w:hanging="0"/>
              <w:jc w:val="left"/>
              <w:rPr/>
            </w:pPr>
            <w:r>
              <w:rPr/>
              <w:t>​</w:t>
            </w:r>
          </w:p>
        </w:tc>
        <w:tc>
          <w:tcPr>
            <w:tcW w:w="2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2024 Accompanying Warrants</w:t>
            </w:r>
          </w:p>
        </w:tc>
        <w:tc>
          <w:tcPr>
            <w:tcW w:w="10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11/25/2024</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6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IntraCoastal Capital, LLC</w:t>
            </w:r>
          </w:p>
        </w:tc>
        <w:tc>
          <w:tcPr>
            <w:tcW w:w="109" w:type="dxa"/>
            <w:tcBorders/>
            <w:shd w:fill="CCEEFF" w:val="clear"/>
            <w:vAlign w:val="center"/>
          </w:tcPr>
          <w:p>
            <w:pPr>
              <w:pStyle w:val="TableContents"/>
              <w:bidi w:val="0"/>
              <w:spacing w:before="0" w:after="0"/>
              <w:ind w:left="0" w:right="0" w:hanging="0"/>
              <w:jc w:val="left"/>
              <w:rPr/>
            </w:pPr>
            <w:r>
              <w:rPr/>
              <w:t>​</w:t>
            </w:r>
          </w:p>
        </w:tc>
        <w:tc>
          <w:tcPr>
            <w:tcW w:w="24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2024 Accompanying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11/25/2024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6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Murchison Capital Partners, LP and assignees</w:t>
            </w:r>
          </w:p>
        </w:tc>
        <w:tc>
          <w:tcPr>
            <w:tcW w:w="109" w:type="dxa"/>
            <w:tcBorders/>
            <w:vAlign w:val="center"/>
          </w:tcPr>
          <w:p>
            <w:pPr>
              <w:pStyle w:val="TableContents"/>
              <w:bidi w:val="0"/>
              <w:spacing w:before="0" w:after="0"/>
              <w:ind w:left="0" w:right="0" w:hanging="0"/>
              <w:jc w:val="left"/>
              <w:rPr/>
            </w:pPr>
            <w:r>
              <w:rPr/>
              <w:t>​</w:t>
            </w:r>
          </w:p>
        </w:tc>
        <w:tc>
          <w:tcPr>
            <w:tcW w:w="24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2025 Accompanying Warrants</w:t>
            </w:r>
          </w:p>
        </w:tc>
        <w:tc>
          <w:tcPr>
            <w:tcW w:w="10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3/4/2025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w:t>
            </w:r>
          </w:p>
        </w:tc>
        <w:tc>
          <w:tcPr>
            <w:tcW w:w="109" w:type="dxa"/>
            <w:tcBorders/>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w:t>
            </w:r>
          </w:p>
        </w:tc>
        <w:tc>
          <w:tcPr>
            <w:tcW w:w="109"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Liability</w:t>
            </w:r>
          </w:p>
        </w:tc>
      </w:tr>
      <w:tr>
        <w:trPr/>
        <w:tc>
          <w:tcPr>
            <w:tcW w:w="26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warrants issued</w:t>
            </w:r>
          </w:p>
        </w:tc>
        <w:tc>
          <w:tcPr>
            <w:tcW w:w="109" w:type="dxa"/>
            <w:tcBorders/>
            <w:shd w:fill="CCEEFF" w:val="clear"/>
            <w:vAlign w:val="center"/>
          </w:tcPr>
          <w:p>
            <w:pPr>
              <w:pStyle w:val="TableContents"/>
              <w:bidi w:val="0"/>
              <w:spacing w:before="0" w:after="0"/>
              <w:ind w:left="0" w:right="0" w:hanging="0"/>
              <w:jc w:val="left"/>
              <w:rPr/>
            </w:pPr>
            <w:r>
              <w:rPr/>
              <w:t>​</w:t>
            </w:r>
          </w:p>
        </w:tc>
        <w:tc>
          <w:tcPr>
            <w:tcW w:w="24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3,179</w:t>
            </w:r>
          </w:p>
        </w:tc>
        <w:tc>
          <w:tcPr>
            <w:tcW w:w="109"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Closing Date Warrants, which was a non-recurring fair value, was determined as of the date of issuance using a Black-Scholes pricing model and the fair value of $3,245 was recorded as a component of stockholders’ equity in Additional-paid-in-capital in the Consolidated Balance Sheets, with the offset recorded as a discount on the amounts funded under the OFA Facilities. This non-recurring measurement is classified as Level 2. The inputs used were a strike price of $320.64, the Company’s stock price of $238.88, volatility of 95%, term of 7 years and risk-free rate of 2.95%.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9, </w:t>
      </w:r>
      <w:r>
        <w:rPr>
          <w:rFonts w:ascii="Times New Roman;Times;serif" w:hAnsi="Times New Roman;Times;serif"/>
          <w:i/>
          <w:sz w:val="20"/>
        </w:rPr>
        <w:t>Debt and Credit Facilities</w:t>
      </w:r>
      <w:r>
        <w:rPr>
          <w:rFonts w:ascii="Times New Roman;Times;serif" w:hAnsi="Times New Roman;Times;serif"/>
          <w:sz w:val="20"/>
        </w:rPr>
        <w:t xml:space="preserve">, in connection with the closing of the Second Amendment of the Credit Agreement, on the Second Amendment Effective Date, the Company amended and restated the Closing Date Warrants granted to the Lenders to have an exercise price of $58.3232 per share.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Using a Black-Scholes pricing model, the Company determined that the Closing Date Warrants’ fair values at the original strike price of $320.64 and the amended strike price of $58.3232 were $548 and $802, respectively, as of the Second Amendment Effective Date. The Closing Date Warrants’ incremental increase in fair value for the repricing of $254, was recorded as a component of stockholders’ equity in Additional-paid-in-capital in the Consolidated Balance Sheets, with the offset recorded as a discount on the amounts refinanced under the Credit Agreement.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Second Amendment, the Company issued 4 “2023 Warrants” at a strike price of $58.3232 per share. The fair value of the 2023 Warrants, which is a non-recurring fair value, was determined as of the date of issuance using a Black-Scholes pricing model and the fair value of $200 was recorded as a component of stockholders’ equity in Additional-paid-in-capital in the Consolidated Balance Sheets, with the offset recorded as a discount on the amounts funded under the Credit Agreement. This non-recurring measurement is classified as Level 2. The inputs used were a strike price of $58.3232, the Company’s stock price of $59.36, volatility of 99%, term of 5.4 years and risk-free rate of 4.14%.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Fourth Amendment, the Company issued 6 “2024 Warrants” at a strike price of $49.1568 per share. The fair value of the “2024 Warrants”, which was a non-recurring fair value, was determined as of the date of issuance using a Black-Scholes pricing model and the fair value of $224 was recorded as a component of stockholders’ equity in Additional-paid-in-capital in the Consolidated Balance Sheets, with the offset recorded as a discount on the amounts funded under the OFA Facilities. This non-recurring measurement is classified as Level 2. The inputs used were a strike price of $49.1568, the Company’s stock price of $44.48, volatility of 112.2%, term of 5 years and risk-free rate of 4.25%.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in connection with the Fifth Amendment of the Credit Agreement, on the Fifth Amendment Effective Date of November 25, 2024, the Company amended and restated the Closing Date Warrants, 2023 Warrants, and 2024 Warrants granted to the Lenders to have an exercise price of $7.68 per share.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Using a Black-Scholes pricing model, the Company determined that the Closing Date Warrants, 2023 Warrants, and 2024 Warrants’ fair values at the previously amended strike price of $58.3232 and original strike price of $49.1568 the amended strike price of $7.68 were $105 and $164, respectively, as of the Fifth Amendment Effective Date. The Closing Date Warrants, 2023 Warrants, and 2024 Warrants’ incremental increase in fair value for the repricing of $59, was recorded as a component of stockholders’ equity in Additional-paid-in-capital in the Consolidated Balance Sheets, with the offset recorded as a discount on the amounts refinanced under the Credit Agreement.</w:t>
      </w:r>
    </w:p>
    <w:p>
      <w:pPr>
        <w:pStyle w:val="TextBody"/>
        <w:bidi w:val="0"/>
        <w:spacing w:before="0" w:after="0"/>
        <w:ind w:left="0" w:right="0" w:hanging="0"/>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The fair value of the Accompanying Warrants at issuance on March 25, 2024 was determined using a Black-Scholes pricing model and the fair value of $19,347 was recorded as a derivative liability with the offset recorded as a component of stockholders’ equity in Additional-paid-in-capital in the Consolidated Balance Sheets. This fair value measurement is classified as Level 2. The valuation inputs used were a strike price of $51.20, the Company’s stock price of $44.96, volatility of 112.2%, a term of 5 years and a risk-free rate of 4.2%. On November 25, 2024, 534 of the 539 Accompanying Warrants’ strike price were amended to $9.136, as part of the consideration provided to one of the investors in the November 2024 Equity raise discussed in Note 11, </w:t>
      </w:r>
      <w:r>
        <w:rPr>
          <w:rFonts w:ascii="Times New Roman;Times;serif" w:hAnsi="Times New Roman;Times;serif"/>
          <w:i/>
          <w:sz w:val="20"/>
        </w:rPr>
        <w:t>Common Stock Financing Activities</w:t>
      </w:r>
      <w:r>
        <w:rPr>
          <w:rFonts w:ascii="Times New Roman;Times;serif" w:hAnsi="Times New Roman;Times;serif"/>
          <w:sz w:val="20"/>
        </w:rPr>
        <w:t>. The increase in fair value due to the amended strike price of $1,000 was recorded as an increase in the carrying value of the Derivative liability, with the offset recorded as a loss in Other (income) expense, net, in the Company’s Consolidated Statements of Operations for the year ended December 31, 2024. The Company remeasured the Accompanying Warrants’ fair value at December 31, 2025 of $502 and recorded a net gain of $1,818 within Other (income) expense, net in the Company’s Consolidated Statements of Operations. The valuation inputs used as of December 31, 2025 were strike prices of $9.136 and $51.20 for 534 and 5 Accompanying Warrants, respectively, the Company’s stock price of $1.60, volatility of 139.8%, term of 3.2 years and risk-free rate of 3.57%.</w:t>
      </w:r>
    </w:p>
    <w:p>
      <w:pPr>
        <w:pStyle w:val="TextBody"/>
        <w:bidi w:val="0"/>
        <w:spacing w:before="0" w:after="0"/>
        <w:ind w:left="0" w:right="0" w:firstLine="360"/>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The fair value of the November 2024 Accompanying Warrants at issuance on November 25, 2024 was determined using a Black-Scholes pricing model and the fair value of $5,562 was recorded as a derivative liability with the offset recorded as a component of stockholders’ equity in Additional-paid-in-capital in the Consolidated Balance Sheets. This fair value measurement is classified as Level 2. The valuation inputs used were a strike price of $7.68, the Company’s stock price of $7.52, volatility of 112.5%, a term of 5 years and a risk-free rate of 4.2%. The Company remeasured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at December 31, 2025 of $934 and recorded a net gain of $3,339 for the year ended December 31, 2025 within Other (income) expense, net in the Company’s Consolidated Statements of Operations. The valuation inputs used as of December 31, 2025 were a strike price of $7.68, the Company’s stock price of $1.60, volatility of 131.7%, term of 3.9 years and risk-free rate of 3.64%.</w:t>
      </w:r>
    </w:p>
    <w:p>
      <w:pPr>
        <w:pStyle w:val="TextBody"/>
        <w:bidi w:val="0"/>
        <w:spacing w:before="0" w:after="0"/>
        <w:ind w:left="0" w:right="0" w:firstLine="446"/>
        <w:jc w:val="left"/>
        <w:rPr/>
      </w:pPr>
      <w:r>
        <w:rPr/>
        <w:t>​</w:t>
      </w:r>
    </w:p>
    <w:p>
      <w:pPr>
        <w:pStyle w:val="TextBody"/>
        <w:bidi w:val="0"/>
        <w:spacing w:before="0" w:after="200"/>
        <w:ind w:left="0" w:right="0" w:hanging="0"/>
        <w:jc w:val="left"/>
        <w:rPr>
          <w:rFonts w:ascii="Times New Roman;Times;serif" w:hAnsi="Times New Roman;Times;serif"/>
          <w:b/>
          <w:sz w:val="20"/>
        </w:rPr>
      </w:pPr>
      <w:bookmarkStart w:id="912" w:name="Tc_gyQ4KZvrM0mE8d_0J7H6gQ_10_11"/>
      <w:bookmarkStart w:id="913" w:name="Tc_GxF5ZESgY0SZ3ckNqB0PEg_10_7"/>
      <w:bookmarkStart w:id="914" w:name="Tc_AGpqUvShxUaM9daWcE0DLA_10_5"/>
      <w:bookmarkStart w:id="915" w:name="Tc_IKrwxJyr5kKLq_y45a79xw_10_1"/>
      <w:bookmarkStart w:id="916" w:name="Tc_7itfa3EfKk--5i1DQ1_sUA_9_11"/>
      <w:bookmarkStart w:id="917" w:name="Tc_aKY-hQTOb0O2dLVH8CagJg_9_5"/>
      <w:bookmarkStart w:id="918" w:name="Tc_ghKLGR5g906YbFrgl-771g_9_0"/>
      <w:bookmarkStart w:id="919" w:name="Tc_lFHymKewt0S5mx6NfkcanQ_8_11"/>
      <w:bookmarkStart w:id="920" w:name="Tc_YLxYmC9E_Ui3Jx1d810BtQ_8_5"/>
      <w:bookmarkStart w:id="921" w:name="Tc_zzSGc4HUek2ncRSY_iv1wA_8_0"/>
      <w:bookmarkStart w:id="922" w:name="Tc_YAL-ffTBNkyktseYBAPE5A_7_0"/>
      <w:bookmarkStart w:id="923" w:name="Tc_XTI_XRFERU-DlWVF9N5Ghw_6_11"/>
      <w:bookmarkStart w:id="924" w:name="Tc_7WKZtcfPsU-7fKys9Vig8w_6_5"/>
      <w:bookmarkStart w:id="925" w:name="Tc_nvnXYCIAoU6QJMu5z8WX9Q_6_0"/>
      <w:bookmarkStart w:id="926" w:name="Tc_yG2yM4EouUieoOkGSGB-MA_5_11"/>
      <w:bookmarkStart w:id="927" w:name="Tc_7nFMrHHWRkieuTywzSOi-Q_5_5"/>
      <w:bookmarkStart w:id="928" w:name="Tc_Vt8eq8NMxUOKhpWCVmPVwA_5_0"/>
      <w:bookmarkStart w:id="929" w:name="Tc_D2pdqt6mEUuAXq-3NqgITQ_4_0"/>
      <w:bookmarkStart w:id="930" w:name="Tc_qq0VF48kHUC2R503E6-Vjw_3_11"/>
      <w:bookmarkStart w:id="931" w:name="Tc_5swA6Wh-5kKKp4lBjyCQUg_3_5"/>
      <w:bookmarkStart w:id="932" w:name="Tc_dG7SXMpgRUuEfxZcAPeFhQ_3_0"/>
      <w:bookmarkStart w:id="933" w:name="Tc_gOu2go-Ct02H2Z8ibK2RVQ_2_11"/>
      <w:bookmarkStart w:id="934" w:name="Tc_hIft3VZTPEuDMtzKLuIqbg_2_7"/>
      <w:bookmarkStart w:id="935" w:name="Tc_K98inidnXk-K4UTJi-LrBw_2_5"/>
      <w:bookmarkStart w:id="936" w:name="Tc_s_6w-3RWuESZUv2-_D0QVQ_2_1"/>
      <w:bookmarkStart w:id="937" w:name="Tc_OtVKJYvD_Umz-QDxDqgxag_2_0"/>
      <w:bookmarkStart w:id="938" w:name="Tc_hAPi7AnDuk611GB7HV2Rew_1_7"/>
      <w:bookmarkStart w:id="939" w:name="Tc_jpygSVGoYUCBtSYJAaFyXw_1_1"/>
      <w:bookmarkStart w:id="940" w:name="Tc_BQdl_ztu7kyeeGJ_Y-R3bA_23_5"/>
      <w:bookmarkStart w:id="941" w:name="Tc_q7Ac8VKpNEecy2iw3gsF_w_23_2"/>
      <w:bookmarkStart w:id="942" w:name="Tc_2ztrV_ewZ0yxUgt4IHVyBA_23_0"/>
      <w:bookmarkStart w:id="943" w:name="Tc_MrbGhVb36UOoQxwSUcKM5w_22_5"/>
      <w:bookmarkStart w:id="944" w:name="Tc_4Fcbyiela0K74jdfF1AFEg_22_2"/>
      <w:bookmarkStart w:id="945" w:name="Tc_pWUJjm6jgUGVnmwXAv08Ow_22_0"/>
      <w:bookmarkStart w:id="946" w:name="Tc_26wzahYhn0-FI8eMC6R2Nw_21_0"/>
      <w:bookmarkStart w:id="947" w:name="Tc_tTyVl7AxKEW9ETKekgd7AQ_20_5"/>
      <w:bookmarkStart w:id="948" w:name="Tc_NaHg2yXM_Eu4UMXs2OSxYw_20_0"/>
      <w:bookmarkStart w:id="949" w:name="Tc_yHPTw5WyPEuUGohe1S-J5g_19_2"/>
      <w:bookmarkStart w:id="950" w:name="Tc_Dawr_hjzMUurUubFo0N5gg_19_0"/>
      <w:bookmarkStart w:id="951" w:name="Tc__0_xenyY-U-qnaEv_uFb4g_18_0"/>
      <w:bookmarkStart w:id="952" w:name="Tc_nhvsPDuVckq3c5a1pFSiiA_17_5"/>
      <w:bookmarkStart w:id="953" w:name="Tc_BHqiGbU9oUqJVpvIK8jOmw_17_2"/>
      <w:bookmarkStart w:id="954" w:name="Tc_3pdNpJl8VUKMeNSHX-osBw_17_0"/>
      <w:bookmarkStart w:id="955" w:name="Tc_YGA0Q7_To0qo9NeFoJ71hQ_16_0"/>
      <w:bookmarkStart w:id="956" w:name="Tc_v1pYmZimmUWuqxP-iOFv2Q_15_0"/>
      <w:bookmarkStart w:id="957" w:name="Tc_laqUlAWQWEqZsH4e2PHHsw_14_0"/>
      <w:bookmarkStart w:id="958" w:name="Tc_IHc6d7t5TEKx4PaVcfzEhA_13_0"/>
      <w:bookmarkStart w:id="959" w:name="Tc_K231AUQ3E0WTtwEj8SglUA_12_0"/>
      <w:bookmarkStart w:id="960" w:name="Tc_WJi2N0xuVkuz0JlnV944Cw_11_0"/>
      <w:bookmarkStart w:id="961" w:name="Tc_VjVazbnutk2Zt4Hm1VqiDQ_10_0"/>
      <w:bookmarkStart w:id="962" w:name="Tc_zMQosJLyUUKGkN8UsM_sxQ_9_0"/>
      <w:bookmarkStart w:id="963" w:name="Tc_90_0D0JnF0G8LqFmipRPgA_8_0"/>
      <w:bookmarkStart w:id="964" w:name="Tc_xnSwKGMgckiajAyApAtbLA_7_0"/>
      <w:bookmarkStart w:id="965" w:name="Tc_yf5Oj1Ygf0uBuOg78KrDyA_6_0"/>
      <w:bookmarkStart w:id="966" w:name="Tc_pTosIzcDnEuG9lB3MhQqaQ_5_0"/>
      <w:bookmarkStart w:id="967" w:name="Tc_z2a2IqkrtEKhUKr074VzJw_4_5"/>
      <w:bookmarkStart w:id="968" w:name="Tc_uoYkrrt-yUCePAHrs6BhEg_4_2"/>
      <w:bookmarkStart w:id="969" w:name="Tc_gT__76ZP40KbO1eELJZ8Fw_4_0"/>
      <w:bookmarkStart w:id="970" w:name="Tc_be4VNn0Q2UOYJj6M0fDS1g_3_0"/>
      <w:bookmarkStart w:id="971" w:name="Tc_a-rJEe6ZNEG6l4jvqLfPWQ_2_5"/>
      <w:bookmarkStart w:id="972" w:name="Tc_5DsAqsf4W0WN4IRK4gztEQ_2_2"/>
      <w:bookmarkStart w:id="973" w:name="Tc_65YK8S8VKUehqk3dTMuKEg_1_5"/>
      <w:bookmarkStart w:id="974" w:name="Tc_w_i3JZzW_Ui9Kl2inApLaQ_1_2"/>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r>
        <w:rPr>
          <w:rFonts w:ascii="Times New Roman;Times;serif" w:hAnsi="Times New Roman;Times;serif"/>
          <w:b/>
          <w:sz w:val="20"/>
        </w:rPr>
        <w:t xml:space="preserve">Note 16. Income Taxes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a result of the prospective adoption of ASU 2023-09, Improvements to Income Tax Disclosures, certain tables are presented in a different format not comparable to prior year disclosures, and certain data contained within the tables may be presented differently than in prior years.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significant components of the Company's net deferred tax assets at December 31, 2025 are shown below. In determining the realizability of the Company's net deferred tax assets, the Company considered numerous factors, including historical profitability, estimated future taxable income, and the industry in which it operates. Based on this information the Company has provided a valuation allowance for the full amount of its net deferred tax asset because the Company has determined that it is more likely than not that they will not be realized.</w:t>
      </w:r>
    </w:p>
    <w:p>
      <w:pPr>
        <w:pStyle w:val="TextBody"/>
        <w:bidi w:val="0"/>
        <w:spacing w:before="0" w:after="0"/>
        <w:ind w:left="0" w:right="0" w:hanging="0"/>
        <w:jc w:val="left"/>
        <w:rPr/>
      </w:pPr>
      <w:r>
        <w:rPr/>
        <w:t>​</w:t>
      </w:r>
    </w:p>
    <w:tbl>
      <w:tblPr>
        <w:tblW w:w="5856" w:type="dxa"/>
        <w:jc w:val="left"/>
        <w:tblInd w:w="0" w:type="dxa"/>
        <w:tblLayout w:type="fixed"/>
        <w:tblCellMar>
          <w:top w:w="0" w:type="dxa"/>
          <w:left w:w="0" w:type="dxa"/>
          <w:bottom w:w="0" w:type="dxa"/>
          <w:right w:w="0" w:type="dxa"/>
        </w:tblCellMar>
      </w:tblPr>
      <w:tblGrid>
        <w:gridCol w:w="3076"/>
        <w:gridCol w:w="346"/>
        <w:gridCol w:w="216"/>
        <w:gridCol w:w="924"/>
        <w:gridCol w:w="109"/>
        <w:gridCol w:w="216"/>
        <w:gridCol w:w="969"/>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953260" cy="175260"/>
                      <wp:effectExtent l="0" t="0" r="0" b="0"/>
                      <wp:wrapNone/>
                      <wp:docPr id="446" name="Frame442"/>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7"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7160" cy="175260"/>
                      <wp:effectExtent l="0" t="0" r="0" b="0"/>
                      <wp:wrapNone/>
                      <wp:docPr id="448" name="Frame44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86740" cy="175260"/>
                      <wp:effectExtent l="0" t="0" r="0" b="0"/>
                      <wp:wrapNone/>
                      <wp:docPr id="449" name="Frame445"/>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9215" cy="175260"/>
                      <wp:effectExtent l="0" t="0" r="0" b="0"/>
                      <wp:wrapNone/>
                      <wp:docPr id="450" name="Frame4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37160" cy="175260"/>
                      <wp:effectExtent l="0" t="0" r="0" b="0"/>
                      <wp:wrapNone/>
                      <wp:docPr id="451" name="Frame44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15315" cy="175260"/>
                      <wp:effectExtent l="0" t="0" r="0" b="0"/>
                      <wp:wrapNone/>
                      <wp:docPr id="452" name="Frame448"/>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center"/>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net operating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107,162</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90,853</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net operating losses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29,513</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23,152</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15,002</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19,031</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17,188</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&amp;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40,014</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44,377</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accounting - liability</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Disallowed charitable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Costs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Amendment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2,273</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settlement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(213,929)</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(192,149)</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109"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amendment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settlement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 (liability)</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reconciliation between the Company’s effective tax rate and the federal statutory rate are as follows:</w:t>
      </w:r>
    </w:p>
    <w:p>
      <w:pPr>
        <w:pStyle w:val="TextBody"/>
        <w:bidi w:val="0"/>
        <w:spacing w:before="0" w:after="0"/>
        <w:ind w:left="0" w:right="0" w:hanging="0"/>
        <w:jc w:val="left"/>
        <w:rPr/>
      </w:pPr>
      <w:r>
        <w:rPr/>
        <w:t>​</w:t>
      </w:r>
    </w:p>
    <w:tbl>
      <w:tblPr>
        <w:tblW w:w="9366" w:type="dxa"/>
        <w:jc w:val="left"/>
        <w:tblInd w:w="0" w:type="dxa"/>
        <w:tblLayout w:type="fixed"/>
        <w:tblCellMar>
          <w:top w:w="0" w:type="dxa"/>
          <w:left w:w="0" w:type="dxa"/>
          <w:bottom w:w="0" w:type="dxa"/>
          <w:right w:w="0" w:type="dxa"/>
        </w:tblCellMar>
      </w:tblPr>
      <w:tblGrid>
        <w:gridCol w:w="5176"/>
        <w:gridCol w:w="211"/>
        <w:gridCol w:w="796"/>
        <w:gridCol w:w="109"/>
        <w:gridCol w:w="586"/>
        <w:gridCol w:w="361"/>
        <w:gridCol w:w="109"/>
        <w:gridCol w:w="211"/>
        <w:gridCol w:w="796"/>
        <w:gridCol w:w="109"/>
        <w:gridCol w:w="586"/>
        <w:gridCol w:w="316"/>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286760" cy="175260"/>
                      <wp:effectExtent l="0" t="0" r="0" b="0"/>
                      <wp:wrapNone/>
                      <wp:docPr id="453" name="Frame449"/>
                      <a:graphic xmlns:a="http://schemas.openxmlformats.org/drawingml/2006/main">
                        <a:graphicData uri="http://schemas.microsoft.com/office/word/2010/wordprocessingShape">
                          <wps:wsp>
                            <wps:cNvSpPr txBox="1"/>
                            <wps:spPr>
                              <a:xfrm>
                                <a:off x="0" y="0"/>
                                <a:ext cx="328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4"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05460" cy="175260"/>
                      <wp:effectExtent l="0" t="0" r="0" b="0"/>
                      <wp:wrapNone/>
                      <wp:docPr id="455" name="Frame4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6"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72110" cy="175260"/>
                      <wp:effectExtent l="0" t="0" r="0" b="0"/>
                      <wp:wrapNone/>
                      <wp:docPr id="457" name="Frame45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29235" cy="175260"/>
                      <wp:effectExtent l="0" t="0" r="0" b="0"/>
                      <wp:wrapNone/>
                      <wp:docPr id="458" name="Frame4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59" name="Frame4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0"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05460" cy="175260"/>
                      <wp:effectExtent l="0" t="0" r="0" b="0"/>
                      <wp:wrapNone/>
                      <wp:docPr id="461" name="Frame4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2" name="Frame4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372110" cy="175260"/>
                      <wp:effectExtent l="0" t="0" r="0" b="0"/>
                      <wp:wrapNone/>
                      <wp:docPr id="463" name="Frame45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0660" cy="175260"/>
                      <wp:effectExtent l="0" t="0" r="0" b="0"/>
                      <wp:wrapNone/>
                      <wp:docPr id="464" name="Frame4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before="0" w:after="0"/>
              <w:ind w:left="0" w:right="0" w:hanging="0"/>
              <w:jc w:val="left"/>
              <w:rPr/>
            </w:pPr>
            <w:r>
              <w:rPr/>
              <w:t>​</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2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federal statutory rate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(14,678)</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(12,516)</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 and local income taxes, net of federal income tax effect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credits:</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credits</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valuation allowance</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15,293</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18,122</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Non-taxable or non-deductible items:</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mark-to-market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tax rate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At December 31, 2025 the Company had approximately $510,296 of gross federal and $530,648 of gross state net operating loss carry-forwards. If not utilized, the federal and state net operating loss carry-forwards will begin to expire in 2037. Of the total federal net operating loss, $507,650 incurred after December 31, 2017 will carryforward indefinitely. The utilization of such net operating loss carry-forwards and realization of tax benefits in future years depends predominantly upon having taxable income. The Company has approximately $17,736 of federal orphan drug credits and research and development credits which will begin to expire in 2037 if not utilized. The Company also has approximately $1,640 of state research and development credits which will begin to expire in 2040 if not utilized.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Utilization of the NOL and research tax credit carryforwards may be subject to a substantial annual limitation due to ownership limitations that has occurred or that could occur in the future, as required by section 382 of the Code, as well as similar state and foreign provisions. These ownership changes may limit the amount of the NOL and research credit carryforwards that can be utilized annually to offset future taxable income and tax, respectively. In general, an "ownership change" as defined by Section 382 of the Code results from a transaction or series of transactions over a three year period resulting in an ownership change of more than 50 percentage points of the outstanding stock of a by certain stockholders or public groups.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Entities are also required to evaluate, measure, recognize and disclose any uncertain income tax positions taken on their income tax returns. The Company has analyzed its tax positions and has concluded that as of December 31, 2025, there were no uncertain positions. The Company's U.S. federal and state NOLs have occurred since its inception in 2017 and as such, tax years subject to potential tax examination could apply from that date because the utilization of net operating losses from prior years opens the relevant year to audit by the U.S. Internal Revenue Service and/or state taxing authorities. The Company did not have any unrecognized tax benefits and has not accrued any interest or penalties for the years ended December 31, 2025 and 2024.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4, 2025, H.R.1, commonly referred to as the One Big Beautiful Bill Act, was enacted in the U.S., which includes a broad range of tax reform provisions, including extending and modifying certain key Tax Cuts and Jobs Act Provisions, and provisions allowing accelerated tax deductions for qualified property and research expenditures. The legislation has multiple effective dates, with certain provisions effective in 2025 and others to be implemented through 2027. The tax impacts of this legislation do not have a material impact on the Company’s current tax provision.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75" w:name="Tc_MVCl9maPjUu7Lg5gtx2gHw_7_5"/>
      <w:bookmarkStart w:id="976" w:name="Tc_2sVrY1IEt0WJBT2q3H8m4g_7_2"/>
      <w:bookmarkStart w:id="977" w:name="Tc_gQZglErfhkOj3bzXoAO9nQ_7_0"/>
      <w:bookmarkStart w:id="978" w:name="Tc_23BdgfrQSkGNtbIN0-1sog_6_0"/>
      <w:bookmarkStart w:id="979" w:name="Tc_dtrC1TxwUEKwnFwc_VWq6g_5_5"/>
      <w:bookmarkStart w:id="980" w:name="Tc_JLSgSB9R6km7RbrkNcZ6Ag_5_2"/>
      <w:bookmarkStart w:id="981" w:name="Tc_8mWmZ2LjlkCw5H4sIpBVOQ_5_0"/>
      <w:bookmarkStart w:id="982" w:name="Tc_8oq98sNhW0Ke3wWqHSd0nQ_3_5"/>
      <w:bookmarkStart w:id="983" w:name="Tc_PS7sva3z0UadUuTZbAnQ0g_3_2"/>
      <w:bookmarkStart w:id="984" w:name="Tc_xop_6jN51UqhBapocwElNg_2_2"/>
      <w:bookmarkStart w:id="985" w:name="Tc_koBIJ6DnDkOUg0RFkCmfow_1_2"/>
      <w:bookmarkStart w:id="986" w:name="_3aaef5df_d774_4868_a090_f0ca98b9ea30"/>
      <w:bookmarkEnd w:id="975"/>
      <w:bookmarkEnd w:id="976"/>
      <w:bookmarkEnd w:id="977"/>
      <w:bookmarkEnd w:id="978"/>
      <w:bookmarkEnd w:id="979"/>
      <w:bookmarkEnd w:id="980"/>
      <w:bookmarkEnd w:id="981"/>
      <w:bookmarkEnd w:id="982"/>
      <w:bookmarkEnd w:id="983"/>
      <w:bookmarkEnd w:id="984"/>
      <w:bookmarkEnd w:id="985"/>
      <w:bookmarkEnd w:id="986"/>
      <w:r>
        <w:rPr>
          <w:rFonts w:ascii="Times New Roman;Times;serif" w:hAnsi="Times New Roman;Times;serif"/>
          <w:b/>
          <w:sz w:val="20"/>
        </w:rPr>
        <w:t>Note 17. Net Loss Per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shd w:fill="FFFFFF" w:val="clear"/>
        </w:rPr>
        <w:t>Basic and diluted net loss per share are as follows</w:t>
      </w:r>
      <w:r>
        <w:rPr>
          <w:rFonts w:ascii="Times New Roman;Times;serif" w:hAnsi="Times New Roman;Times;serif"/>
          <w:sz w:val="20"/>
        </w:rPr>
        <w:t>:</w:t>
      </w:r>
    </w:p>
    <w:p>
      <w:pPr>
        <w:pStyle w:val="TextBody"/>
        <w:bidi w:val="0"/>
        <w:spacing w:before="0" w:after="0"/>
        <w:ind w:left="0" w:right="0" w:hanging="0"/>
        <w:jc w:val="left"/>
        <w:rPr/>
      </w:pPr>
      <w:r>
        <w:rPr/>
        <w:t>​</w:t>
      </w:r>
    </w:p>
    <w:tbl>
      <w:tblPr>
        <w:tblW w:w="5845" w:type="dxa"/>
        <w:jc w:val="left"/>
        <w:tblInd w:w="0" w:type="dxa"/>
        <w:tblLayout w:type="fixed"/>
        <w:tblCellMar>
          <w:top w:w="0" w:type="dxa"/>
          <w:left w:w="0" w:type="dxa"/>
          <w:bottom w:w="0" w:type="dxa"/>
          <w:right w:w="0" w:type="dxa"/>
        </w:tblCellMar>
      </w:tblPr>
      <w:tblGrid>
        <w:gridCol w:w="3331"/>
        <w:gridCol w:w="109"/>
        <w:gridCol w:w="211"/>
        <w:gridCol w:w="796"/>
        <w:gridCol w:w="346"/>
        <w:gridCol w:w="211"/>
        <w:gridCol w:w="841"/>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15185" cy="175260"/>
                      <wp:effectExtent l="0" t="0" r="0" b="0"/>
                      <wp:wrapNone/>
                      <wp:docPr id="465" name="Frame461"/>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6" name="Frame4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7"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05460" cy="175260"/>
                      <wp:effectExtent l="0" t="0" r="0" b="0"/>
                      <wp:wrapNone/>
                      <wp:docPr id="468" name="Frame4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9"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0" name="Frame4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34035" cy="175260"/>
                      <wp:effectExtent l="0" t="0" r="0" b="0"/>
                      <wp:wrapNone/>
                      <wp:docPr id="471" name="Frame46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(59,599)</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(denominator)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2,535</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loss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987" w:name="Tc_f5lDc17ZcUSk0kZHU7WHmg_9_0"/>
      <w:bookmarkStart w:id="988" w:name="Tc_p5XjVta71UWJCuq2AImTig_8_0"/>
      <w:bookmarkStart w:id="989" w:name="Tc_4TNvRqNjTUmYOBsQR4GVdg_7_0"/>
      <w:bookmarkStart w:id="990" w:name="Tc_An1AJwNKQU-6LY5-lRjVkA_6_0"/>
      <w:bookmarkStart w:id="991" w:name="Tc_vDj3DiwZEEeJQF-kD6EQVQ_5_0"/>
      <w:bookmarkStart w:id="992" w:name="Tc_xBMHyjVhn0WD0LKIfr2HdA_3_5"/>
      <w:bookmarkStart w:id="993" w:name="Tc_MElwnkFyDEqXbCPxvbYqvg_3_2"/>
      <w:bookmarkStart w:id="994" w:name="Tc_jC70vq7YVkuUTqJoo7AUUg_2_2"/>
      <w:bookmarkStart w:id="995" w:name="Tc_UoI0DRmyIU2l2uldjmRaFw_1_2"/>
      <w:bookmarkStart w:id="996" w:name="_5b9ef2dd_75fd_4038_9867_f754b5449166"/>
      <w:bookmarkEnd w:id="987"/>
      <w:bookmarkEnd w:id="988"/>
      <w:bookmarkEnd w:id="989"/>
      <w:bookmarkEnd w:id="990"/>
      <w:bookmarkEnd w:id="991"/>
      <w:bookmarkEnd w:id="992"/>
      <w:bookmarkEnd w:id="993"/>
      <w:bookmarkEnd w:id="994"/>
      <w:bookmarkEnd w:id="995"/>
      <w:bookmarkEnd w:id="996"/>
      <w:r>
        <w:rPr>
          <w:rFonts w:ascii="Times New Roman;Times;serif" w:hAnsi="Times New Roman;Times;serif"/>
          <w:sz w:val="20"/>
        </w:rPr>
        <w:t>Potentially dilutive securities outstanding consists of stock options, RSUs and performance units, and BTI warrants. The Company had common stock equivalents outstanding are as follows:</w:t>
      </w:r>
    </w:p>
    <w:p>
      <w:pPr>
        <w:pStyle w:val="TextBody"/>
        <w:bidi w:val="0"/>
        <w:spacing w:before="0" w:after="240"/>
        <w:ind w:left="0" w:right="0" w:firstLine="360"/>
        <w:jc w:val="left"/>
        <w:rPr/>
      </w:pPr>
      <w:r>
        <w:rPr/>
        <w:t>​</w:t>
      </w:r>
    </w:p>
    <w:tbl>
      <w:tblPr>
        <w:tblW w:w="4469" w:type="dxa"/>
        <w:jc w:val="left"/>
        <w:tblInd w:w="0" w:type="dxa"/>
        <w:tblLayout w:type="fixed"/>
        <w:tblCellMar>
          <w:top w:w="0" w:type="dxa"/>
          <w:left w:w="0" w:type="dxa"/>
          <w:bottom w:w="0" w:type="dxa"/>
          <w:right w:w="0" w:type="dxa"/>
        </w:tblCellMar>
      </w:tblPr>
      <w:tblGrid>
        <w:gridCol w:w="2776"/>
        <w:gridCol w:w="109"/>
        <w:gridCol w:w="109"/>
        <w:gridCol w:w="571"/>
        <w:gridCol w:w="109"/>
        <w:gridCol w:w="109"/>
        <w:gridCol w:w="6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762760" cy="175260"/>
                      <wp:effectExtent l="0" t="0" r="0" b="0"/>
                      <wp:wrapNone/>
                      <wp:docPr id="472" name="Frame468"/>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73"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9215" cy="175260"/>
                      <wp:effectExtent l="0" t="0" r="0" b="0"/>
                      <wp:wrapNone/>
                      <wp:docPr id="474" name="Frame4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62585" cy="175260"/>
                      <wp:effectExtent l="0" t="0" r="0" b="0"/>
                      <wp:wrapNone/>
                      <wp:docPr id="475" name="Frame4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9215" cy="175260"/>
                      <wp:effectExtent l="0" t="0" r="0" b="0"/>
                      <wp:wrapNone/>
                      <wp:docPr id="476" name="Frame4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9215" cy="175260"/>
                      <wp:effectExtent l="0" t="0" r="0" b="0"/>
                      <wp:wrapNone/>
                      <wp:docPr id="477" name="Frame4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35610" cy="175260"/>
                      <wp:effectExtent l="0" t="0" r="0" b="0"/>
                      <wp:wrapNone/>
                      <wp:docPr id="478" name="Frame47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BTI Warrants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common stock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2,200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18. Commitments and Contingencies</w:t>
      </w:r>
    </w:p>
    <w:p>
      <w:pPr>
        <w:pStyle w:val="TextBody"/>
        <w:bidi w:val="0"/>
        <w:spacing w:before="0" w:after="20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From time to time, in the ordinary course of business, the Company may be subject to litigation and regulatory examinations as well as information gathering requests, inquiries and/or investigations. Other than the below, the Company is not currently subject to any matters where it believes there is a reasonable possibility that a material loss may be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July 7, 2023, plaintiff Katelyn Martin filed a class action complaint against the Company and certain executives in the United States District Court for the District of Connecticut, captioned </w:t>
      </w:r>
      <w:r>
        <w:rPr>
          <w:rFonts w:ascii="Times New Roman;Times;serif" w:hAnsi="Times New Roman;Times;serif"/>
          <w:i/>
          <w:sz w:val="20"/>
          <w:shd w:fill="FFFFFF" w:val="clear"/>
        </w:rPr>
        <w:t>Martin v. BioXcel Therapeutics, et al.</w:t>
      </w:r>
      <w:r>
        <w:rPr>
          <w:rFonts w:ascii="Times New Roman;Times;serif" w:hAnsi="Times New Roman;Times;serif"/>
          <w:sz w:val="20"/>
          <w:shd w:fill="FFFFFF" w:val="clear"/>
        </w:rPr>
        <w:t xml:space="preserve">, 3:23-cv-00915 (D. Conn). The case has since been renamed to </w:t>
      </w:r>
      <w:r>
        <w:rPr>
          <w:rFonts w:ascii="Times New Roman;Times;serif" w:hAnsi="Times New Roman;Times;serif"/>
          <w:i/>
          <w:sz w:val="20"/>
          <w:shd w:fill="FFFFFF" w:val="clear"/>
        </w:rPr>
        <w:t xml:space="preserve">Hills et al v. BioXcel Therapeutics, Inc. et </w:t>
      </w:r>
      <w:r>
        <w:rPr>
          <w:rFonts w:ascii="Times New Roman;Times;serif" w:hAnsi="Times New Roman;Times;serif"/>
          <w:sz w:val="20"/>
          <w:shd w:fill="FFFFFF" w:val="clear"/>
        </w:rPr>
        <w:t>al.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On September 29, 2025, the Court issued an order granting Plaintiffs’ motion for leave to amend, denying Defendants’ motion to dismiss as moot, and allowing Plaintiffs to proceed on certain of their claims. The Company filed an answer to the third amended complaint on October 28, 2025.</w:t>
      </w:r>
      <w:r>
        <w:rPr>
          <w:rFonts w:ascii="Times New Roman;Times;serif" w:hAnsi="Times New Roman;Times;serif"/>
          <w:sz w:val="20"/>
        </w:rPr>
        <w:t xml:space="preserve"> </w:t>
      </w:r>
      <w:r>
        <w:rPr>
          <w:rFonts w:ascii="Times New Roman;Times;serif" w:hAnsi="Times New Roman;Times;serif"/>
          <w:sz w:val="20"/>
          <w:shd w:fill="FFFFFF" w:val="clear"/>
        </w:rPr>
        <w:t>On January 23, 2026, the parties reached a tentative agreement to settle the action. In light of this agreement, on January 28, 2026, the Court entered an order vacating the scheduling order and requiring Plaintiffs to file a motion for preliminary approval of the settlement or status report by February 27, 2026. Plaintiffs filed a motion for preliminary approval on February 27, 2026, and the Court granted the motion on March 2, 2026. The hearing on the motion for final approval of the class settlement is set for September 2,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The Company evaluates developments in legal proceedings on a quarterly basis. In accordance with ASC 450, Contingencies, the Company records an accrual for loss contingencies to the extent that the Company concludes that it is probable that a liability has been incurred and the amount of the related loss can be reasonably estimated. On March 2, 2026, upon entering into a stipulation of settlement, this settlement became estimable and probable. Accordingly, the Company recorded an estimated $9,750 liability within</w:t>
      </w:r>
      <w:r>
        <w:rPr>
          <w:rFonts w:ascii="Times New Roman;Times;serif" w:hAnsi="Times New Roman;Times;serif"/>
          <w:sz w:val="20"/>
        </w:rPr>
        <w:t xml:space="preserve"> Other current liabilities in the Company’s Consolidated Balance Sheets</w:t>
      </w:r>
      <w:r>
        <w:rPr>
          <w:rFonts w:ascii="Times New Roman;Times;serif" w:hAnsi="Times New Roman;Times;serif"/>
          <w:sz w:val="20"/>
          <w:shd w:fill="FFFFFF" w:val="clear"/>
        </w:rPr>
        <w:t xml:space="preserve"> with a corresponding insurance recovery for the 100% portion to be paid directly by certain of the Company’s insurance carriers within Other current assets in the Company’s Consolidated Balance Sheets.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Times;serif" w:hAnsi="Times New Roman;Times;serif"/>
          <w:i/>
          <w:sz w:val="20"/>
          <w:shd w:fill="FFFFFF" w:val="clear"/>
        </w:rPr>
        <w:t>Panancherry et al v. Mehta et al</w:t>
      </w:r>
      <w:r>
        <w:rPr>
          <w:rFonts w:ascii="Times New Roman;Times;serif" w:hAnsi="Times New Roman;Times;serif"/>
          <w:sz w:val="20"/>
          <w:shd w:fill="FFFFFF" w:val="clear"/>
        </w:rPr>
        <w:t xml:space="preserve">, 3:23-cv-1554. Following the initial action, Plaintiffs Maria Vomvolakis (3:24-cv-3) and Kelly Fowler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Times;serif" w:hAnsi="Times New Roman;Times;serif"/>
          <w:i/>
          <w:sz w:val="20"/>
          <w:shd w:fill="FFFFFF" w:val="clear"/>
        </w:rPr>
        <w:t>In re BioXcel Therapeutics, Inc. Stockholder Derivative Litigation</w:t>
      </w:r>
      <w:r>
        <w:rPr>
          <w:rFonts w:ascii="Times New Roman;Times;serif" w:hAnsi="Times New Roman;Times;serif"/>
          <w:sz w:val="20"/>
          <w:shd w:fill="FFFFFF" w:val="clear"/>
        </w:rPr>
        <w:t xml:space="preserve">, 3:23-cv-1554 (D. Conn.). On October 30, 2025, the Court entered the parties’ joint stipulation staying the consolidated action until the resolution of </w:t>
      </w:r>
      <w:r>
        <w:rPr>
          <w:rFonts w:ascii="Times New Roman;Times;serif" w:hAnsi="Times New Roman;Times;serif"/>
          <w:i/>
          <w:sz w:val="20"/>
          <w:shd w:fill="FFFFFF" w:val="clear"/>
        </w:rPr>
        <w:t>Hills v. BioXcel et al</w:t>
      </w:r>
      <w:r>
        <w:rPr>
          <w:rFonts w:ascii="Times New Roman;Times;serif" w:hAnsi="Times New Roman;Times;serif"/>
          <w:sz w:val="20"/>
          <w:shd w:fill="FFFFFF" w:val="clear"/>
        </w:rPr>
        <w:t>, 3:23-cv-00915 (D. Conn.).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Times;serif" w:hAnsi="Times New Roman;Times;serif"/>
          <w:i/>
          <w:sz w:val="20"/>
          <w:shd w:fill="FFFFFF" w:val="clear"/>
        </w:rPr>
        <w:t>Smith v. Mehta et al,</w:t>
      </w:r>
      <w:r>
        <w:rPr>
          <w:rFonts w:ascii="Times New Roman;Times;serif" w:hAnsi="Times New Roman;Times;serif"/>
          <w:sz w:val="20"/>
          <w:shd w:fill="FFFFFF" w:val="clear"/>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Times;serif" w:hAnsi="Times New Roman;Times;serif"/>
          <w:i/>
          <w:sz w:val="20"/>
          <w:shd w:fill="FFFFFF" w:val="clear"/>
        </w:rPr>
        <w:t>In re BioXcel Therapeutics, Inc. Derivative Litigation</w:t>
      </w:r>
      <w:r>
        <w:rPr>
          <w:rFonts w:ascii="Times New Roman;Times;serif" w:hAnsi="Times New Roman;Times;serif"/>
          <w:sz w:val="20"/>
          <w:shd w:fill="FFFFFF" w:val="clear"/>
        </w:rPr>
        <w:t xml:space="preserve">, 1:24-cv-00041 (D. Del.). On October 30, 2025, the Court entered the parties’ joint stipulation staying the consolidated action until the resolution of </w:t>
      </w:r>
      <w:r>
        <w:rPr>
          <w:rFonts w:ascii="Times New Roman;Times;serif" w:hAnsi="Times New Roman;Times;serif"/>
          <w:i/>
          <w:sz w:val="20"/>
          <w:shd w:fill="FFFFFF" w:val="clear"/>
        </w:rPr>
        <w:t>Hills v. BioXcel et al</w:t>
      </w:r>
      <w:r>
        <w:rPr>
          <w:rFonts w:ascii="Times New Roman;Times;serif" w:hAnsi="Times New Roman;Times;serif"/>
          <w:sz w:val="20"/>
          <w:shd w:fill="FFFFFF" w:val="clear"/>
        </w:rPr>
        <w:t>, 3:23-cv-00915 (D. Conn.).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Times;serif" w:hAnsi="Times New Roman;Times;serif"/>
          <w:i/>
          <w:sz w:val="20"/>
          <w:shd w:fill="FFFFFF" w:val="clear"/>
        </w:rPr>
        <w:t>Yaakov Portnoy, derivatively on behalf of BioXcel Therapeutics, Inc. v. Vimal Mehta, et al</w:t>
      </w:r>
      <w:r>
        <w:rPr>
          <w:rFonts w:ascii="Times New Roman;Times;serif" w:hAnsi="Times New Roman;Times;serif"/>
          <w:sz w:val="20"/>
          <w:shd w:fill="FFFFFF" w:val="clear"/>
        </w:rPr>
        <w:t xml:space="preserve">, 2025-0508-BWD (Del. Ch.).  The complaint alleges similar claims to those raised in </w:t>
      </w:r>
      <w:r>
        <w:rPr>
          <w:rFonts w:ascii="Times New Roman;Times;serif" w:hAnsi="Times New Roman;Times;serif"/>
          <w:i/>
          <w:sz w:val="20"/>
          <w:shd w:fill="FFFFFF" w:val="clear"/>
        </w:rPr>
        <w:t>In re BioXcel Therapeutics, Inc. Derivative Litigation</w:t>
      </w:r>
      <w:r>
        <w:rPr>
          <w:rFonts w:ascii="Times New Roman;Times;serif" w:hAnsi="Times New Roman;Times;serif"/>
          <w:sz w:val="20"/>
          <w:shd w:fill="FFFFFF" w:val="clear"/>
        </w:rPr>
        <w:t xml:space="preserve">, 1:24-cv-00041 (D. Del.), including business torts. On January 27, 2026, the Court entered the parties’ joint stipulation staying the case until the resolution of </w:t>
      </w:r>
      <w:r>
        <w:rPr>
          <w:rFonts w:ascii="Times New Roman;Times;serif" w:hAnsi="Times New Roman;Times;serif"/>
          <w:i/>
          <w:sz w:val="20"/>
          <w:shd w:fill="FFFFFF" w:val="clear"/>
        </w:rPr>
        <w:t>Hills v. BioXcel et al</w:t>
      </w:r>
      <w:r>
        <w:rPr>
          <w:rFonts w:ascii="Times New Roman;Times;serif" w:hAnsi="Times New Roman;Times;serif"/>
          <w:sz w:val="20"/>
          <w:shd w:fill="FFFFFF" w:val="clear"/>
        </w:rPr>
        <w:t>, 3:23-cv-00915 (D. Conn.).</w:t>
      </w:r>
    </w:p>
    <w:p>
      <w:pPr>
        <w:pStyle w:val="TextBody"/>
        <w:bidi w:val="0"/>
        <w:spacing w:before="0" w:after="20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At this time, the Company does not believe the claims in the above-captioned stockholder derivative matters have merit, and intends to vigorously defend against them; however, the potential costs and liabilities associated with this litigation are uncertain.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shd w:fill="FFFFFF" w:val="clear"/>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reduced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w:t>
      </w:r>
      <w:r>
        <w:rPr>
          <w:rFonts w:ascii="Times New Roman;Times;serif" w:hAnsi="Times New Roman;Times;serif"/>
          <w:sz w:val="20"/>
        </w:rPr>
        <w:t xml:space="preserve"> </w:t>
      </w:r>
      <w:r>
        <w:rPr>
          <w:rFonts w:ascii="Times New Roman;Times;serif" w:hAnsi="Times New Roman;Times;serif"/>
          <w:sz w:val="20"/>
          <w:shd w:fill="FFFFFF" w:val="clear"/>
        </w:rPr>
        <w:t>In addition, the Company agreed to make a reconciliation payment of $1,200, paid in the third quarter of 2024 for full settlement for amounts due prior to the July 11, 2024 amendment.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19. Segment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views its operations and manages its business as one operating and reportable segment, utilizing artificial intelligence (“AI”) to develop transformative medicines in neuroscience and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997" w:name="Tc_HolIsxgtvE-7fX-DYUcVKg_39_6"/>
      <w:bookmarkStart w:id="998" w:name="Tc_-BZOZrGvXUmcC1q_5Ga4jA_39_3"/>
      <w:bookmarkStart w:id="999" w:name="Tc_4rac3om1Qkq_GMlH9H2icA_39_0"/>
      <w:bookmarkStart w:id="1000" w:name="Tc_G34RhsvGOk213D3nz-ANPQ_38_0"/>
      <w:bookmarkStart w:id="1001" w:name="Tc_n5NR_Le6jkqmZX67lYz-Pg_37_6"/>
      <w:bookmarkStart w:id="1002" w:name="Tc_1rayPLvj3U2prJKhFHbt2Q_37_3"/>
      <w:bookmarkStart w:id="1003" w:name="Tc_JJ2Nh26Yg0Km8bCFOdeASg_37_0"/>
      <w:bookmarkStart w:id="1004" w:name="Tc_CroKwlrkZ02baNOE5OuJmQ_36_0"/>
      <w:bookmarkStart w:id="1005" w:name="Tc_mnJa9GDOpUqjSH5vBJOikA_35_0"/>
      <w:bookmarkStart w:id="1006" w:name="Tc_AhWDdCTkO0uB9k770N1fEA_34_0"/>
      <w:bookmarkStart w:id="1007" w:name="Tc_XwySucEsJ0O-xNqKLiChpw_33_0"/>
      <w:bookmarkStart w:id="1008" w:name="Tc_yrFw_nvdIUik6R0U7MUlFA_32_6"/>
      <w:bookmarkStart w:id="1009" w:name="Tc_G6rCwTPlcESZVowudef4wg_32_3"/>
      <w:bookmarkStart w:id="1010" w:name="Tc_1ivEZjtNdEW6yZd_y5TEpg_32_0"/>
      <w:bookmarkStart w:id="1011" w:name="Tc__cK5l51bqUK7Q85ExrR3xA_31_0"/>
      <w:bookmarkStart w:id="1012" w:name="Tc_MCtdvRTJYUmEMv3jHPdqpA_30_6"/>
      <w:bookmarkStart w:id="1013" w:name="Tc_5AbIPRR1c0i_9ICFtvlqZg_30_3"/>
      <w:bookmarkStart w:id="1014" w:name="Tc_3XLR27VEdkuusu3wOFIigQ_30_0"/>
      <w:bookmarkStart w:id="1015" w:name="Tc_UlZN1C8SlEahTEzFLalTlQ_29_0"/>
      <w:bookmarkStart w:id="1016" w:name="Tc_wDyVhDYm5UyUjRG8_tA-Mw_28_0"/>
      <w:bookmarkStart w:id="1017" w:name="Tc_cODVy2ZvhUmE5risuHSdVA_27_0"/>
      <w:bookmarkStart w:id="1018" w:name="Tc_gDibEForZke-3OR54Zm-iQ_26_0"/>
      <w:bookmarkStart w:id="1019" w:name="Tc_ho4EZdxrkk2s1ugZ41h-sw_25_6"/>
      <w:bookmarkStart w:id="1020" w:name="Tc_FKq9rqax2kCwlKZy_jkLoQ_25_3"/>
      <w:bookmarkStart w:id="1021" w:name="Tc_yDgF2sYVh0CCXZCUfdw0iQ_25_0"/>
      <w:bookmarkStart w:id="1022" w:name="Tc_2DZJ_UASakuPNuWH4Pn9mA_24_0"/>
      <w:bookmarkStart w:id="1023" w:name="Tc_4wYssbFCEUCr0frnWSvTjg_23_6"/>
      <w:bookmarkStart w:id="1024" w:name="Tc_wD_bocRTsUKRnxe2g6vP1g_23_3"/>
      <w:bookmarkStart w:id="1025" w:name="Tc_CFyTYQ9vOkeJqN7b8rrwPA_23_0"/>
      <w:bookmarkStart w:id="1026" w:name="Tc_YuqEAJl8CUqGJr4MDV15jg_22_0"/>
      <w:bookmarkStart w:id="1027" w:name="Tc_HSyf8Gc58EGVOb1jfXI7UQ_21_0"/>
      <w:bookmarkStart w:id="1028" w:name="Tc_mS7Keo83L0OQccdRC1vsNA_20_0"/>
      <w:bookmarkStart w:id="1029" w:name="Tc_sk8sphslKkGhAxbsaryRgA_19_0"/>
      <w:bookmarkStart w:id="1030" w:name="Tc_J3ySpee_IU2IZOsUSA4DSQ_18_4"/>
      <w:bookmarkStart w:id="1031" w:name="Tc_x76DQtE_JkG0iivN035_2g_18_0"/>
      <w:bookmarkStart w:id="1032" w:name="Tc_0LNa8Lum90uwS-HSvCR12A_17_0"/>
      <w:bookmarkStart w:id="1033" w:name="Tc_3c7MILs75k2XYcLYsib_Zg_16_0"/>
      <w:bookmarkStart w:id="1034" w:name="Tc_JCAPQMGZokqpMXwEf3X1iQ_15_6"/>
      <w:bookmarkStart w:id="1035" w:name="Tc_aVv8mJ21zE6VGwqjKfB3DA_15_3"/>
      <w:bookmarkStart w:id="1036" w:name="Tc_CnvpsZLa0EmbfMLLDwrXOA_15_0"/>
      <w:bookmarkStart w:id="1037" w:name="Tc_9phEodUvC0uEfN8uoBtfNg_14_0"/>
      <w:bookmarkStart w:id="1038" w:name="Tc_2yzkIW_c-0StWfx0jH4xtg_13_0"/>
      <w:bookmarkStart w:id="1039" w:name="Tc_GJ7Bpc_eGUmCqcyIXdLu9A_12_0"/>
      <w:bookmarkStart w:id="1040" w:name="Tc_ges5y-VIQECb0PcxCjT_RQ_11_0"/>
      <w:bookmarkStart w:id="1041" w:name="Tc_A8AGNVK-FUGtJpfhVm26IQ_10_0"/>
      <w:bookmarkStart w:id="1042" w:name="Tc_MmPj6eW8rECo5GJqozf3iQ_9_6"/>
      <w:bookmarkStart w:id="1043" w:name="Tc_Ubf2qHfGhkG7Zyp8Hr5dcQ_9_3"/>
      <w:bookmarkStart w:id="1044" w:name="Tc_0bZQvtvwYkWHI8w2ecRZMw_9_0"/>
      <w:bookmarkStart w:id="1045" w:name="Tc_K4AXa6GdRECOHa7OjcChcA_8_0"/>
      <w:bookmarkStart w:id="1046" w:name="Tc_qZ462vWMiUCtR58eo5ncEg_7_6"/>
      <w:bookmarkStart w:id="1047" w:name="Tc_S1jWWNgs20uWEJF6ESiL1g_7_3"/>
      <w:bookmarkStart w:id="1048" w:name="Tc_vyjOu8N0j0KSTPyexTcJfA_7_0"/>
      <w:bookmarkStart w:id="1049" w:name="Tc_ZXhRFhgTQUaVvLez9PKF1g_6_0"/>
      <w:bookmarkStart w:id="1050" w:name="Tc_8fTOttEDw0GI445_Ts7pjw_5_6"/>
      <w:bookmarkStart w:id="1051" w:name="Tc_yTantjimgUiPnofRQd2Z8Q_5_3"/>
      <w:bookmarkStart w:id="1052" w:name="Tc_avJraoP4yE60QNggLwFqNw_5_0"/>
      <w:bookmarkStart w:id="1053" w:name="Tc_O07z8CKvA0WxV9-qt2l2tQ_3_6"/>
      <w:bookmarkStart w:id="1054" w:name="Tc_ZYmE5ynrmEOg53vl_YIDUQ_3_3"/>
      <w:bookmarkStart w:id="1055" w:name="Tc_mVdnMfiDD06d-LGYJtW7jg_2_3"/>
      <w:bookmarkStart w:id="1056" w:name="Tc__a62bu4mx06A6ZyjKERPLg_1_3"/>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Pr>
          <w:rFonts w:ascii="Times New Roman;Times;serif" w:hAnsi="Times New Roman;Times;serif"/>
          <w:sz w:val="20"/>
        </w:rPr>
        <w:t>Consistent with the operational structure, the Chief Executive Officer, as the chief operating decision maker (“CODM”), reviews weekly cash usage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about the Company’s one reportable segment and includes the reconciliation to consolidated net loss.</w:t>
      </w:r>
    </w:p>
    <w:p>
      <w:pPr>
        <w:pStyle w:val="TextBody"/>
        <w:bidi w:val="0"/>
        <w:spacing w:before="0" w:after="0"/>
        <w:ind w:left="0" w:right="0" w:hanging="0"/>
        <w:jc w:val="left"/>
        <w:rPr/>
      </w:pPr>
      <w:r>
        <w:rPr/>
        <w:t>​</w:t>
      </w:r>
    </w:p>
    <w:tbl>
      <w:tblPr>
        <w:tblW w:w="6953" w:type="dxa"/>
        <w:jc w:val="left"/>
        <w:tblInd w:w="0" w:type="dxa"/>
        <w:tblLayout w:type="fixed"/>
        <w:tblCellMar>
          <w:top w:w="0" w:type="dxa"/>
          <w:left w:w="0" w:type="dxa"/>
          <w:bottom w:w="0" w:type="dxa"/>
          <w:right w:w="0" w:type="dxa"/>
        </w:tblCellMar>
      </w:tblPr>
      <w:tblGrid>
        <w:gridCol w:w="3856"/>
        <w:gridCol w:w="346"/>
        <w:gridCol w:w="346"/>
        <w:gridCol w:w="211"/>
        <w:gridCol w:w="796"/>
        <w:gridCol w:w="346"/>
        <w:gridCol w:w="211"/>
        <w:gridCol w:w="84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448560" cy="175260"/>
                      <wp:effectExtent l="0" t="0" r="0" b="0"/>
                      <wp:wrapNone/>
                      <wp:docPr id="479" name="Frame475"/>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0"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1"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2"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05460" cy="175260"/>
                      <wp:effectExtent l="0" t="0" r="0" b="0"/>
                      <wp:wrapNone/>
                      <wp:docPr id="483" name="Frame4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4"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5"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34035" cy="175260"/>
                      <wp:effectExtent l="0" t="0" r="0" b="0"/>
                      <wp:wrapNone/>
                      <wp:docPr id="486" name="Frame48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trials expense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 manufacturing and controls cost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30,435</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costs: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marketing</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costs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costs: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and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related expenses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costs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69,511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net loss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and reconciling items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20. Subsequent Events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11, </w:t>
      </w:r>
      <w:r>
        <w:rPr>
          <w:rFonts w:ascii="Times New Roman;Times;serif" w:hAnsi="Times New Roman;Times;serif"/>
          <w:i/>
          <w:sz w:val="20"/>
        </w:rPr>
        <w:t>Common Stock Financing Activities</w:t>
      </w:r>
      <w:r>
        <w:rPr>
          <w:rFonts w:ascii="Times New Roman;Times;serif" w:hAnsi="Times New Roman;Times;serif"/>
          <w:sz w:val="20"/>
        </w:rPr>
        <w:t>, the Company filed a prospectus supplement with the Securities and Exchange Commission for the offer and sale of up to $80,000 shares of common stock pursuant to the Equity Distribution Agreement with Canaccord. After December 31, 2025 but before financial statement issuance, the Company sold 245 shares under the Equity Distribution Agreement for gross proceeds of $498 and received proceeds of $488, net of issuance costs of $10.</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February 17, 2026, the Company agreed to amend its lease agreement for its HQ lease. The amendment extends the lease on a month-to-month basis with a continued monthly base rent payment of $33.</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On March 2, 2026, the Company entered into a stipulation of settlement for the class action complaint filed on July 7, 2023. Refer to Note 18, </w:t>
      </w:r>
      <w:r>
        <w:rPr>
          <w:rFonts w:ascii="Times New Roman;Times;serif" w:hAnsi="Times New Roman;Times;serif"/>
          <w:i/>
          <w:sz w:val="20"/>
          <w:shd w:fill="FFFFFF" w:val="clear"/>
        </w:rPr>
        <w:t>Commitments and Contingencies</w:t>
      </w:r>
      <w:r>
        <w:rPr>
          <w:rFonts w:ascii="Times New Roman;Times;serif" w:hAnsi="Times New Roman;Times;serif"/>
          <w:sz w:val="20"/>
          <w:shd w:fill="FFFFFF" w:val="clear"/>
        </w:rPr>
        <w:t>, for additional information.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10, 2026, the Company entered into a securities purchase agreement (the “March 2026 Offering”) with a purchaser. Pursuant to the March 2026 Offering, the Company agreed to issue and sell to the purchaser and the purchaser agreed to buy in a registered direct offering (i) an aggregate of 2,480 shares (the “Shares”) of common stock, par value $0.001 per share and accompanying warrants to purchase up to 2,480 shares of Common Stock at a combined offering price of $1.739 per Share and accompanying warrant, and (ii) Pre-Funded warrants to purchase up to 2,020 shares of Common Stock and accompanying warrants to purchase up to 2,020 shares of Common Stock, at a combined offering price of $1.738 per share underlying the Pre-Funded Warrants and accompanying warrant, which equals the offering price per Share and accompanying warrant less the $0.001 exercise price per share of the Pre-Funded Warrants, pursuant to an effective registration statement on Form S-3 (File No. 333-275261), including the base prospectus included therein, and a prospectus supplement filed with the Securities and Exchange Commission on March 10, 2026. The accompanying warrants have an exercise price of $1.614 per share, are immediately exercisable upon issuance, and will expire on the five-year anniversary of the date of issuance.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March 2026 Offering closed on March 11, 2026. The Company received aggregate gross proceeds of approximately $7,825, before deducting placement agent fees and estimated offering expenses payable by the Company.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12, 2026, 2,020 Pre-Funded Warrants were exercised by the purchaser for net proceeds of $2.</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Rodman &amp; Renshaw LLC (the “Placement Agent”) acted as the Company’s exclusive placement agent in connection with the March 2026 Offering. As compensation in connection with the March 2026 Offering, the Company agreed to pay the Placement Agent a cash fee equal to 6.0% of the gross proceeds from the March 2026 Offering, and issue to the Placement Agent or its designees warrants to purchase a number of shares of Common Stock equal to 4.0% of the aggregate number of shares placed in the Registered Direct Offering (180,031 shares), at an exercise price equal to 125% of the offering price per share (or $2.0175 per share), with a term of five years from the commencement of the Registered Direct Offering (the “Placement Agent Warrants”). The Company also agreed to reimburse the Placement Agent for certain expenses in an amount of up to $75 and to pay up to $16 for clearing and closing expenses.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March 2026 Offering, pursuant to the terms of a Warrant Amendment Agreement, dated as of March 10, 2026 (the “Warrant Amendment Agreement”), the exercise price of certain outstanding warrants issued on March 27, 2024 and November 25, 2024 to purchase up to an aggregate of 1,385 shares of Common Stock held by the purchaser was reduced to $1.614 per share, equal to the exercise price of the Accompanying Warrants issued in the Offering, and the term of such warrants was extended to five years following the closing date of the Offering. The investor paid approximately $173 in exchange for the reduction in exercise price and the extension of the term of these warrants. We paid the Placement Agent a cash fee of 6.0% of the gross proceeds paid for the warrant amendment.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March 27, 2026, the Company entered into the Ninth Amendment to Credit Agreement and Guaranty (the “Ninth Amendment”), by and among the Company, as the borrower, the Lenders and OFA as administrative agent, which included among other things, (i) a waiver of the “going concern” qualification for our audited annual financial statements for the year ended December 31, 2025 and (ii) a reduction in the Credit Agreement’s minimum liquidity covenant of $2,500 (from $15,000 to $12,500).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Ninth Amendment the Company agreed to (i) make a one-time prepayment of the principal amount of $2,500, together with accrued and unpaid interest thereon, by March 31, 2026, (ii) on or prior to April 15, 2026, at the Company’s option either (A) pay the Lenders an amendment fee of $2,032 or (B) grant warrants to the Lenders to purchase up to 1,353,729 shares of common stock of the Company, at an exercise price of $0.01 per share and (iii) following receipt of aggregated gross proceeds following the effective date of the Ninth Amendment from (a) the issuance of the Company’s common stock, warrants and/or pre-funded warrants, (b) non-refundable cash consideration from partnering transactions, (c) the issuance of the Company’s subordinated debt and/or (d) sales by the Company of its assets, in each case ((a) through (d)), in transactions permitted under the Credit Agreement (“Capital Raise Activities”), make a prepayment of the loans under the Credit Agreement in an aggregate principal amount equal to 50% of such gross cash proceeds, together with accrued interest thereon and any fees or premia (including prepayment premium) payable in connection therewith; provided, that the foregoing requirement will not apply (A) with respect to the first $2,500 in the aggregate of proceeds raised from Capital Raise Activities (as defined in the Credit Agreement) and (B) once the aggregate principal amount of the Loans prepaid pursuant to one or more Capital Raise Prepayments equals $2,500.</w:t>
      </w:r>
    </w:p>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240"/>
        <w:ind w:left="0" w:right="0" w:hanging="0"/>
        <w:jc w:val="right"/>
        <w:rPr>
          <w:rFonts w:ascii="Times New Roman;Times;serif" w:hAnsi="Times New Roman;Times;serif"/>
          <w:b/>
          <w:sz w:val="20"/>
        </w:rPr>
      </w:pPr>
      <w:bookmarkStart w:id="1057" w:name="btai-20251231xex4d1.htm"/>
      <w:bookmarkStart w:id="1058" w:name="ksbtai20251231xex4d1"/>
      <w:bookmarkEnd w:id="1057"/>
      <w:bookmarkEnd w:id="1058"/>
      <w:r>
        <w:rPr>
          <w:rFonts w:ascii="Times New Roman;Times;serif" w:hAnsi="Times New Roman;Times;serif"/>
          <w:b/>
          <w:sz w:val="20"/>
        </w:rPr>
        <w:t>Exhibit 4.1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REGISTERED UNDER SECTION 12 OF THE EXCHANGE ACT</w:t>
      </w:r>
    </w:p>
    <w:p>
      <w:pPr>
        <w:pStyle w:val="TextBody"/>
        <w:pBdr/>
        <w:bidi w:val="0"/>
        <w:spacing w:before="0" w:after="240"/>
        <w:ind w:left="0" w:right="0" w:hanging="20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BioXcel Therapeutics, Inc. has one class of securities registered under Section 12 of the Securities Exchange Act of 1934, as amended (the “Exchange Act”). References herein to “we,” “us,” “our” and the “Company” refer to BioXcel Therapeutics, Inc. and not to any of its subsidiaries.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description of our common stock and certain provisions of our amended and restated certificate of incorporation (as amended and/or restated from time to time, our “charter”) and amended and restated bylaws (as amended and/or restated from time to time, our “bylaws”) are summaries and are qualified in their entirety by reference to the full text of our amended and restated certificate of incorporation and our amended and restated bylaws, each of which have been publicly filed with the Securities and Exchange Commission (the “SEC”). We encourage you to read our amended and restated certificate of incorporation and our amended and restated bylaws and the applicable provisions of the Delaware General Corporation Law (the “DGCL”)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authorized to issue up to a total of 200,000,000 shares of common stock, par value $0.001 per share. Holders of our common stock are entitled to one vote for each share held on all matters submitted to a vote of our stockholders. Holders of our common stock have no cumulative voting rights. Further, holders of our common stock have no preemptive or conversion rights or other subscription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our liquidation, dissolution or winding- up, holders of our common stock are entitled to share in all assets remaining after payment of all liabilities and the liquidation preferences of any of our outstanding shares of preferred stock. Subject to preferences that may be applicable to any outstanding shares of preferred stock, holders of our common stock are entitled to receive dividends, if any, as may be declared from time to time by our board of directors out of our assets which are legally available. Such dividends, if any, are payable in cash, in property or in shares of capital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holders of one-third of the voting power of our issued and outstanding capital stock, represented in person or by proxy, are necessary to constitute a quorum for the transaction of business at any meeting. If a quorum is present, an action by stockholders entitled to vote on a matter is approved if the number of votes cast in favor of the action exceeds the number of votes cast in opposition to the action unless a different vote is required by law, the charter, the by-laws or, with respect to a class or series of preferred stock, the terms of any resolution or resolutions adopted by the board of directors. Pursuant to our charter, the election of directors requires a plurality of the votes cast by the stockholders present in person or represented by proxy at the meeting and entitled to vote thereon.</w:t>
      </w:r>
    </w:p>
    <w:p>
      <w:pPr>
        <w:pStyle w:val="TextBody"/>
        <w:pBdr/>
        <w:bidi w:val="0"/>
        <w:spacing w:before="0" w:after="240"/>
        <w:ind w:left="0" w:right="0" w:hanging="20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has the authority, without further action by the stockholders, to issue up to 10,000,000 shares of preferred stock in one or more series and to fix the designations, powers, preferences, privileges, and relative participating, optional, or special rights as well as the qualifications, limitations, or restrictions of the preferred stock, including dividend rights, conversion rights, voting rights, terms of redemption, and liquidation preferences, any or all of which may be greater than the rights of the common stock. Our board of directors, without stockholder approval, can issue convertible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and may adversely affect the voting and other rights of the holders of common stock.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0" w:right="0" w:hanging="202"/>
        <w:jc w:val="left"/>
        <w:rPr>
          <w:rFonts w:ascii="Times New Roman;Times;serif" w:hAnsi="Times New Roman;Times;serif"/>
          <w:b/>
          <w:sz w:val="20"/>
        </w:rPr>
      </w:pPr>
      <w:r>
        <w:rPr>
          <w:rFonts w:ascii="Times New Roman;Times;serif" w:hAnsi="Times New Roman;Times;serif"/>
          <w:b/>
          <w:sz w:val="20"/>
        </w:rPr>
        <w:t>Anti-Takeover Effects of Certain Provisions of our Charter and Bylaws and the DGCL</w:t>
      </w:r>
    </w:p>
    <w:p>
      <w:pPr>
        <w:pStyle w:val="TextBody"/>
        <w:pBdr/>
        <w:bidi w:val="0"/>
        <w:spacing w:before="0" w:after="240"/>
        <w:ind w:left="0" w:right="0" w:hanging="200"/>
        <w:jc w:val="left"/>
        <w:rPr>
          <w:rFonts w:ascii="Times New Roman;Times;serif" w:hAnsi="Times New Roman;Times;serif"/>
          <w:b/>
          <w:i/>
          <w:sz w:val="20"/>
        </w:rPr>
      </w:pPr>
      <w:r>
        <w:rPr>
          <w:rFonts w:ascii="Times New Roman;Times;serif" w:hAnsi="Times New Roman;Times;serif"/>
          <w:b/>
          <w:i/>
          <w:sz w:val="20"/>
        </w:rPr>
        <w:t>Delaware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governed by the provisions of Section 203 of the Delaware General Corporation Law. In general, Section 203 prohibits a publicly traded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 subject to certain exceptions. The statute could have the effect of delaying, deferring or preventing a change in control of our company.</w:t>
      </w:r>
    </w:p>
    <w:p>
      <w:pPr>
        <w:pStyle w:val="TextBody"/>
        <w:pBdr/>
        <w:bidi w:val="0"/>
        <w:spacing w:before="0" w:after="240"/>
        <w:ind w:left="0" w:right="0" w:hanging="200"/>
        <w:jc w:val="left"/>
        <w:rPr>
          <w:rFonts w:ascii="Times New Roman;Times;serif" w:hAnsi="Times New Roman;Times;serif"/>
          <w:b/>
          <w:i/>
          <w:sz w:val="20"/>
        </w:rPr>
      </w:pPr>
      <w:r>
        <w:rPr>
          <w:rFonts w:ascii="Times New Roman;Times;serif" w:hAnsi="Times New Roman;Times;serif"/>
          <w:b/>
          <w:i/>
          <w:sz w:val="20"/>
        </w:rPr>
        <w:t>Classified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charter provides that our Board is divided into three classes, with the classes as nearly equal in number as possible and each class serving three-year staggered terms. Directors may only be removed from our board of directors for cause and only by the affirmative vote of holders of a majority of the voting power of all then-outstanding shares of capital stock of the Company entitled to vote generally in the election of directors, voting together as a single class. These provisions may have the effect of deferring, delaying or discouraging hostile takeovers, or changes in control of us or our management.</w:t>
      </w:r>
    </w:p>
    <w:p>
      <w:pPr>
        <w:pStyle w:val="TextBody"/>
        <w:pBdr/>
        <w:bidi w:val="0"/>
        <w:spacing w:before="0" w:after="240"/>
        <w:ind w:left="0" w:right="0" w:hanging="200"/>
        <w:jc w:val="left"/>
        <w:rPr>
          <w:rFonts w:ascii="Times New Roman;Times;serif" w:hAnsi="Times New Roman;Times;serif"/>
          <w:b/>
          <w:i/>
          <w:sz w:val="20"/>
        </w:rPr>
      </w:pPr>
      <w:r>
        <w:rPr>
          <w:rFonts w:ascii="Times New Roman;Times;serif" w:hAnsi="Times New Roman;Times;serif"/>
          <w:b/>
          <w:i/>
          <w:sz w:val="20"/>
        </w:rPr>
        <w:t>Board of Directors Vacancies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charter and bylaws authorize only our board of directors to fill vacant directorships. In addition, the number of directors constituting our board of directors may be set only by resolution of the majority of the incumbent directors.</w:t>
      </w:r>
    </w:p>
    <w:p>
      <w:pPr>
        <w:pStyle w:val="TextBody"/>
        <w:pBdr/>
        <w:bidi w:val="0"/>
        <w:spacing w:before="0" w:after="240"/>
        <w:ind w:left="0" w:right="0" w:hanging="200"/>
        <w:jc w:val="left"/>
        <w:rPr>
          <w:rFonts w:ascii="Times New Roman;Times;serif" w:hAnsi="Times New Roman;Times;serif"/>
          <w:b/>
          <w:i/>
          <w:sz w:val="20"/>
        </w:rPr>
      </w:pPr>
      <w:r>
        <w:rPr>
          <w:rFonts w:ascii="Times New Roman;Times;serif" w:hAnsi="Times New Roman;Times;serif"/>
          <w:b/>
          <w:i/>
          <w:sz w:val="20"/>
        </w:rPr>
        <w:t>Stockholder Action; Special Meeting of 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charter and bylaws provide that our stockholders may not take action by written consent. Our charter and bylaws further provide that special meetings of our stockholders may be called by a majority of the board of directors, the Chief Executive Officer, or the Chairman of the board of directors.</w:t>
      </w:r>
    </w:p>
    <w:p>
      <w:pPr>
        <w:pStyle w:val="TextBody"/>
        <w:pBdr/>
        <w:bidi w:val="0"/>
        <w:spacing w:before="0" w:after="240"/>
        <w:ind w:left="0" w:right="0" w:hanging="200"/>
        <w:jc w:val="left"/>
        <w:rPr>
          <w:rFonts w:ascii="Times New Roman;Times;serif" w:hAnsi="Times New Roman;Times;serif"/>
          <w:b/>
          <w:i/>
          <w:sz w:val="20"/>
        </w:rPr>
      </w:pPr>
      <w:r>
        <w:rPr>
          <w:rFonts w:ascii="Times New Roman;Times;serif" w:hAnsi="Times New Roman;Times;serif"/>
          <w:b/>
          <w:i/>
          <w:sz w:val="20"/>
        </w:rPr>
        <w:t>Advance Notice Requirements for Stockholder Proposals and Director Nominations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must be delivered to the secretary at our principal executive offices not later than the close of business on the 90th day nor earlier than the close of business on the 120th day prior to the first anniversary of the preceding year's annual meeting; provided, however, that in the event the date of the annual meeting is more than 30 days before or more than 60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day on which a public announcement of the date of such meeting is first made by us. These provisions may preclude our stockholders from bringing matters before our annual meeting of stockholders or from making nominations for directors at our annual meeting of stockholders.</w:t>
      </w:r>
    </w:p>
    <w:p>
      <w:pPr>
        <w:pStyle w:val="TextBody"/>
        <w:pBdr/>
        <w:bidi w:val="0"/>
        <w:spacing w:before="0" w:after="240"/>
        <w:ind w:left="0" w:right="0" w:hanging="200"/>
        <w:jc w:val="left"/>
        <w:rPr>
          <w:rFonts w:ascii="Times New Roman;Times;serif" w:hAnsi="Times New Roman;Times;serif"/>
          <w:b/>
          <w:i/>
          <w:sz w:val="20"/>
        </w:rPr>
      </w:pPr>
      <w:r>
        <w:rPr>
          <w:rFonts w:ascii="Times New Roman;Times;serif" w:hAnsi="Times New Roman;Times;serif"/>
          <w:b/>
          <w:i/>
          <w:sz w:val="20"/>
        </w:rPr>
        <w:t>Authorized but Unissued Shares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authorized but unissued shares of common stock and preferred stock are available for future issuance without stockholder approval and may be utilized for a variety of corporate purposes, including future public offerings to raise additional capital, corporate acquisitions and employee benefit plans. The existence of authorized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but unissued and unreserved common stock and preferred stock could render more difficult or discourage an attempt to obtain control of us by means of a proxy contest, tender offer, merger or otherwise.</w:t>
      </w:r>
    </w:p>
    <w:p>
      <w:pPr>
        <w:pStyle w:val="TextBody"/>
        <w:pBdr/>
        <w:bidi w:val="0"/>
        <w:spacing w:before="0" w:after="240"/>
        <w:ind w:left="0" w:right="0" w:hanging="200"/>
        <w:jc w:val="left"/>
        <w:rPr>
          <w:rFonts w:ascii="Times New Roman;Times;serif" w:hAnsi="Times New Roman;Times;serif"/>
          <w:b/>
          <w:sz w:val="20"/>
        </w:rPr>
      </w:pPr>
      <w:r>
        <w:rPr>
          <w:rFonts w:ascii="Times New Roman;Times;serif" w:hAnsi="Times New Roman;Times;serif"/>
          <w:b/>
          <w:sz w:val="20"/>
        </w:rPr>
        <w:t>Limitations on Liability, Indemnification of Officers and Directors and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DGCL authorizes corporations to limit or eliminate the personal liability of directors to corporations and their stockholders for monetary damages for breaches of directors’ fiduciary duties as directors and our charter includes such an exculpation provision. Our charter and bylaws include provisions that indemnify, to the fullest extent allowable under the DGCL, the personal liability of directors or officers for monetary damages for actions taken as a director or officer of us, or for serving at our request as a director or officer or another position at another corporation or enterprise, as the case may be. Our charter and bylaws also provide that we must indemnify and advance reasonable expenses to our directors and officers, subject to our receipt of an undertaking from the indemnified party as may be required under the DGCL. Our bylaws expressly authorize us to carry directors' and officers' insurance to protect us, our directors, officers and certain employees for some liabilities. The limitation of liability and indemnification provisions in our charter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do not limit or eliminate our rights, or those of any stockholder, to seek non-monetary relief such as injunction or rescission in the event of a breach of a director's duty of care. These provisions will not alter the liability of directors under federal securities laws.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059" w:name="btai-20251231xex4d5.htm"/>
      <w:bookmarkStart w:id="1060" w:name="ksbtai20251231xex4d5"/>
      <w:bookmarkEnd w:id="1059"/>
      <w:bookmarkEnd w:id="1060"/>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BIOXCEL THERAPEUTICS,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WARRANT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 PURCHASE SHARES OF COMMON STOCK</w:t>
      </w:r>
    </w:p>
    <w:p>
      <w:pPr>
        <w:pStyle w:val="TextBody"/>
        <w:bidi w:val="0"/>
        <w:spacing w:before="0" w:after="0"/>
        <w:ind w:left="0" w:right="0" w:hanging="0"/>
        <w:jc w:val="left"/>
        <w:rPr/>
      </w:pPr>
      <w:r>
        <w:rPr/>
        <w:t>​</w:t>
      </w:r>
    </w:p>
    <w:tbl>
      <w:tblPr>
        <w:tblW w:w="5162" w:type="dxa"/>
        <w:jc w:val="center"/>
        <w:tblInd w:w="0" w:type="dxa"/>
        <w:tblLayout w:type="fixed"/>
        <w:tblCellMar>
          <w:top w:w="0" w:type="dxa"/>
          <w:left w:w="0" w:type="dxa"/>
          <w:bottom w:w="0" w:type="dxa"/>
          <w:right w:w="0" w:type="dxa"/>
        </w:tblCellMar>
      </w:tblPr>
      <w:tblGrid>
        <w:gridCol w:w="3151"/>
        <w:gridCol w:w="201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w:t>
            </w:r>
          </w:p>
        </w:tc>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Number of Shares: [●]</w:t>
            </w:r>
          </w:p>
        </w:tc>
      </w:tr>
      <w:tr>
        <w:trPr/>
        <w:tc>
          <w:tcPr>
            <w:tcW w:w="315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(subject to adjustment)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Issuance: November 25, 2024</w:t>
            </w:r>
          </w:p>
        </w:tc>
        <w:tc>
          <w:tcPr>
            <w:tcW w:w="201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BioXcel Therapeutics, Inc., a Delaware corporation (the “</w:t>
      </w:r>
      <w:r>
        <w:rPr>
          <w:rFonts w:ascii="Times New Roman;Times;serif" w:hAnsi="Times New Roman;Times;serif"/>
          <w:b/>
          <w:sz w:val="20"/>
        </w:rPr>
        <w:t>Company</w:t>
      </w:r>
      <w:r>
        <w:rPr>
          <w:rFonts w:ascii="Times New Roman;Times;serif" w:hAnsi="Times New Roman;Times;serif"/>
          <w:sz w:val="20"/>
        </w:rPr>
        <w:t>”), hereby certifies that, for good and valuable consideration, the receipt and sufficiency of which are hereby acknowledged, [●] or its registered assigns (the “</w:t>
      </w:r>
      <w:r>
        <w:rPr>
          <w:rFonts w:ascii="Times New Roman;Times;serif" w:hAnsi="Times New Roman;Times;serif"/>
          <w:b/>
          <w:sz w:val="20"/>
        </w:rPr>
        <w:t>Holder</w:t>
      </w:r>
      <w:r>
        <w:rPr>
          <w:rFonts w:ascii="Times New Roman;Times;serif" w:hAnsi="Times New Roman;Times;serif"/>
          <w:sz w:val="20"/>
        </w:rPr>
        <w:t>”), is entitled, subject to the terms set forth below, to purchase from the Company up to a total of [●]shares of common stock, $0.001 par value per share (the “</w:t>
      </w:r>
      <w:r>
        <w:rPr>
          <w:rFonts w:ascii="Times New Roman;Times;serif" w:hAnsi="Times New Roman;Times;serif"/>
          <w:b/>
          <w:sz w:val="20"/>
        </w:rPr>
        <w:t>Common Stock</w:t>
      </w:r>
      <w:r>
        <w:rPr>
          <w:rFonts w:ascii="Times New Roman;Times;serif" w:hAnsi="Times New Roman;Times;serif"/>
          <w:sz w:val="20"/>
        </w:rPr>
        <w:t>”) of the Company (each such share, a “</w:t>
      </w:r>
      <w:r>
        <w:rPr>
          <w:rFonts w:ascii="Times New Roman;Times;serif" w:hAnsi="Times New Roman;Times;serif"/>
          <w:b/>
          <w:sz w:val="20"/>
        </w:rPr>
        <w:t>Warrant Share</w:t>
      </w:r>
      <w:r>
        <w:rPr>
          <w:rFonts w:ascii="Times New Roman;Times;serif" w:hAnsi="Times New Roman;Times;serif"/>
          <w:sz w:val="20"/>
        </w:rPr>
        <w:t>” and all such shares, the “</w:t>
      </w:r>
      <w:r>
        <w:rPr>
          <w:rFonts w:ascii="Times New Roman;Times;serif" w:hAnsi="Times New Roman;Times;serif"/>
          <w:b/>
          <w:sz w:val="20"/>
        </w:rPr>
        <w:t>Warrant Shares</w:t>
      </w:r>
      <w:r>
        <w:rPr>
          <w:rFonts w:ascii="Times New Roman;Times;serif" w:hAnsi="Times New Roman;Times;serif"/>
          <w:sz w:val="20"/>
        </w:rPr>
        <w:t xml:space="preserve">”) at an exercise price per share equal to $0.571 per share (as adjusted from time to time as provided in </w:t>
      </w:r>
      <w:r>
        <w:rPr>
          <w:rFonts w:ascii="Times New Roman;Times;serif" w:hAnsi="Times New Roman;Times;serif"/>
          <w:sz w:val="20"/>
          <w:u w:val="single"/>
        </w:rPr>
        <w:t>Section 9</w:t>
      </w:r>
      <w:r>
        <w:rPr>
          <w:rFonts w:ascii="Times New Roman;Times;serif" w:hAnsi="Times New Roman;Times;serif"/>
          <w:sz w:val="20"/>
        </w:rPr>
        <w:t xml:space="preserve"> herein, the “</w:t>
      </w:r>
      <w:r>
        <w:rPr>
          <w:rFonts w:ascii="Times New Roman;Times;serif" w:hAnsi="Times New Roman;Times;serif"/>
          <w:b/>
          <w:sz w:val="20"/>
        </w:rPr>
        <w:t>Exercise Price</w:t>
      </w:r>
      <w:r>
        <w:rPr>
          <w:rFonts w:ascii="Times New Roman;Times;serif" w:hAnsi="Times New Roman;Times;serif"/>
          <w:sz w:val="20"/>
        </w:rPr>
        <w:t>”) upon surrender of this Warrant to Purchase Shares of Common Stock (including any Warrants to Purchase Shares of Common Stock issued in exchange, transfer or replacement hereof, the “</w:t>
      </w:r>
      <w:r>
        <w:rPr>
          <w:rFonts w:ascii="Times New Roman;Times;serif" w:hAnsi="Times New Roman;Times;serif"/>
          <w:b/>
          <w:sz w:val="20"/>
        </w:rPr>
        <w:t>Warrant</w:t>
      </w:r>
      <w:r>
        <w:rPr>
          <w:rFonts w:ascii="Times New Roman;Times;serif" w:hAnsi="Times New Roman;Times;serif"/>
          <w:sz w:val="20"/>
        </w:rPr>
        <w:t>”) at any time and from time to time on or after the date hereof (the “</w:t>
      </w:r>
      <w:r>
        <w:rPr>
          <w:rFonts w:ascii="Times New Roman;Times;serif" w:hAnsi="Times New Roman;Times;serif"/>
          <w:b/>
          <w:sz w:val="20"/>
        </w:rPr>
        <w:t>Original Issue Date</w:t>
      </w:r>
      <w:r>
        <w:rPr>
          <w:rFonts w:ascii="Times New Roman;Times;serif" w:hAnsi="Times New Roman;Times;serif"/>
          <w:sz w:val="20"/>
        </w:rPr>
        <w:t>”) and on or prior to 5:00 pm Eastern Time on March 27, 2029 (the “</w:t>
      </w:r>
      <w:r>
        <w:rPr>
          <w:rFonts w:ascii="Times New Roman;Times;serif" w:hAnsi="Times New Roman;Times;serif"/>
          <w:b/>
          <w:sz w:val="20"/>
        </w:rPr>
        <w:t>Termination Date</w:t>
      </w:r>
      <w:r>
        <w:rPr>
          <w:rFonts w:ascii="Times New Roman;Times;serif" w:hAnsi="Times New Roman;Times;serif"/>
          <w:sz w:val="20"/>
        </w:rPr>
        <w:t>”), subject to the following terms and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i/>
          <w:sz w:val="20"/>
        </w:rPr>
        <w:t>Definitions</w:t>
      </w:r>
      <w:r>
        <w:rPr>
          <w:rFonts w:ascii="Times New Roman;Times;serif" w:hAnsi="Times New Roman;Times;serif"/>
          <w:sz w:val="20"/>
        </w:rPr>
        <w:t>. For purposes of this Warrant, the following terms shall have the following meanings: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Affiliate</w:t>
      </w:r>
      <w:r>
        <w:rPr>
          <w:rFonts w:ascii="Times New Roman;Times;serif" w:hAnsi="Times New Roman;Times;serif"/>
          <w:sz w:val="20"/>
        </w:rPr>
        <w:t>” means any Person directly or indirectly controlled by, controlling or under common control with, a Holder, as such terms are used in and construed under Rule 405 under the Securities Act,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Commission</w:t>
      </w:r>
      <w:r>
        <w:rPr>
          <w:rFonts w:ascii="Times New Roman;Times;serif" w:hAnsi="Times New Roman;Times;serif"/>
          <w:sz w:val="20"/>
        </w:rPr>
        <w:t>” means the United States Securities and Exchange Commission.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Marketable Securities</w:t>
      </w:r>
      <w:r>
        <w:rPr>
          <w:rFonts w:ascii="Times New Roman;Times;serif" w:hAnsi="Times New Roman;Times;serif"/>
          <w:sz w:val="20"/>
        </w:rPr>
        <w:t>” means securities meeting all of the following requirements: (i) the issuer thereof is then subject to the reporting requirements of Section 13 or Section 15(d) of the Securities Exchange Act of 1934, as amended (the “</w:t>
      </w:r>
      <w:r>
        <w:rPr>
          <w:rFonts w:ascii="Times New Roman;Times;serif" w:hAnsi="Times New Roman;Times;serif"/>
          <w:b/>
          <w:sz w:val="20"/>
        </w:rPr>
        <w:t>Exchange Act</w:t>
      </w:r>
      <w:r>
        <w:rPr>
          <w:rFonts w:ascii="Times New Roman;Times;serif" w:hAnsi="Times New Roman;Times;serif"/>
          <w:sz w:val="20"/>
        </w:rPr>
        <w:t>”),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except to the extent that any such restriction (x) arises solely under federal or state securities laws, rules or</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regulations, and (y) does not extend beyond six (6) months from the closing of such Fundamental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Principal Trading Market</w:t>
      </w:r>
      <w:r>
        <w:rPr>
          <w:rFonts w:ascii="Times New Roman;Times;serif" w:hAnsi="Times New Roman;Times;serif"/>
          <w:sz w:val="20"/>
        </w:rPr>
        <w:t>” means the national securities exchange or other trading market on which the shares of Common Stock are primarily listed on and quoted for trading, which, as of the Original Issue Date, shall be the Nasdaq Capital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Registration Statement</w:t>
      </w:r>
      <w:r>
        <w:rPr>
          <w:rFonts w:ascii="Times New Roman;Times;serif" w:hAnsi="Times New Roman;Times;serif"/>
          <w:sz w:val="20"/>
        </w:rPr>
        <w:t>” means the Company’s Registration Statement on Form S-3 (File No. 333-275261), filed with the Commission on November 2,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t>
      </w:r>
      <w:r>
        <w:rPr>
          <w:rFonts w:ascii="Times New Roman;Times;serif" w:hAnsi="Times New Roman;Times;serif"/>
          <w:b/>
          <w:sz w:val="20"/>
        </w:rPr>
        <w:t>Securities Act</w:t>
      </w:r>
      <w:r>
        <w:rPr>
          <w:rFonts w:ascii="Times New Roman;Times;serif" w:hAnsi="Times New Roman;Times;serif"/>
          <w:sz w:val="20"/>
        </w:rPr>
        <w:t>” means the Securities Act of 1933,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w:t>
      </w:r>
      <w:r>
        <w:rPr>
          <w:rFonts w:ascii="Times New Roman;Times;serif" w:hAnsi="Times New Roman;Times;serif"/>
          <w:b/>
          <w:sz w:val="20"/>
        </w:rPr>
        <w:t>Trading Day</w:t>
      </w:r>
      <w:r>
        <w:rPr>
          <w:rFonts w:ascii="Times New Roman;Times;serif" w:hAnsi="Times New Roman;Times;serif"/>
          <w:sz w:val="20"/>
        </w:rPr>
        <w:t>” means any weekday on which the Principal Trading Market is open for trading. If the shares of Common Stock are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t>
      </w:r>
      <w:r>
        <w:rPr>
          <w:rFonts w:ascii="Times New Roman;Times;serif" w:hAnsi="Times New Roman;Times;serif"/>
          <w:b/>
          <w:sz w:val="20"/>
        </w:rPr>
        <w:t>Transfer Agent</w:t>
      </w:r>
      <w:r>
        <w:rPr>
          <w:rFonts w:ascii="Times New Roman;Times;serif" w:hAnsi="Times New Roman;Times;serif"/>
          <w:sz w:val="20"/>
        </w:rPr>
        <w:t>” means Equiniti Trust Company, LLC, the Company’s transfer agent and registrar for the Common Stock, and any successor appointed in such capacity.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t>
      </w:r>
      <w:r>
        <w:rPr>
          <w:rFonts w:ascii="Times New Roman;Times;serif" w:hAnsi="Times New Roman;Times;serif"/>
          <w:b/>
          <w:sz w:val="20"/>
        </w:rPr>
        <w:t>VWAP</w:t>
      </w:r>
      <w:r>
        <w:rPr>
          <w:rFonts w:ascii="Times New Roman;Times;serif" w:hAnsi="Times New Roman;Times;serif"/>
          <w:sz w:val="20"/>
        </w:rPr>
        <w:t>” means, for any date, the price determined by the first of the following clauses that applies: (i) if the Common Stock is then listed or quoted on a national securities exchange or other trading market, the daily volume weighted average price of the Common Stock for such date (or the nearest preceding date) on the Principal Trading Market as reported by Bloomberg L.P. (based on a Trading Day from 9:30 a.m. (New York City time) to 4:02 p.m. (New York City time)), (ii) if the Common Stock is then listed or quoted for trading and neither OTCQB nor OTCQX is the Principal Trading Market, the volume weighted average price of the Common Stock for such date (or the nearest preceding date) on OTCQB or OTCQX, as applicable, (iii)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(iv)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i/>
          <w:sz w:val="20"/>
        </w:rPr>
        <w:t>Issuance of Securities; Registration of Warrants</w:t>
      </w:r>
      <w:r>
        <w:rPr>
          <w:rFonts w:ascii="Times New Roman;Times;serif" w:hAnsi="Times New Roman;Times;serif"/>
          <w:sz w:val="20"/>
        </w:rPr>
        <w:t>. This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Times;serif" w:hAnsi="Times New Roman;Times;serif"/>
          <w:b/>
          <w:sz w:val="20"/>
        </w:rPr>
        <w:t>Warrant Register</w:t>
      </w:r>
      <w:r>
        <w:rPr>
          <w:rFonts w:ascii="Times New Roman;Times;serif" w:hAnsi="Times New Roman;Times;serif"/>
          <w:sz w:val="20"/>
        </w:rPr>
        <w:t>”),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i/>
          <w:sz w:val="20"/>
        </w:rPr>
        <w:t>Registration of Transfers</w:t>
      </w:r>
      <w:r>
        <w:rPr>
          <w:rFonts w:ascii="Times New Roman;Times;serif" w:hAnsi="Times New Roman;Times;serif"/>
          <w:sz w:val="20"/>
        </w:rPr>
        <w:t>. Subject to compliance with all applicable securities laws, the Company shall, or will cause its Transfer Agent to, register the transfer of all or any portion of this Warrant in the Warrant Register, upon surrender of this Warrant, and payment for all applicable taxes (if any). Upon any such registration or transfer, a new warrant to purchase shares of Common Stock in substantially the</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1911" w:type="dxa"/>
        <w:jc w:val="center"/>
        <w:tblInd w:w="0" w:type="dxa"/>
        <w:tblLayout w:type="fixed"/>
        <w:tblCellMar>
          <w:top w:w="0" w:type="dxa"/>
          <w:left w:w="0" w:type="dxa"/>
          <w:bottom w:w="0" w:type="dxa"/>
          <w:right w:w="0" w:type="dxa"/>
        </w:tblCellMar>
      </w:tblPr>
      <w:tblGrid>
        <w:gridCol w:w="1546"/>
        <w:gridCol w:w="211"/>
        <w:gridCol w:w="154"/>
      </w:tblGrid>
      <w:tr>
        <w:trPr/>
        <w:tc>
          <w:tcPr>
            <w:tcW w:w="15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2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form of this Warrant (any such new warrant, a “</w:t>
      </w:r>
      <w:r>
        <w:rPr>
          <w:rFonts w:ascii="Times New Roman;Times;serif" w:hAnsi="Times New Roman;Times;serif"/>
          <w:b/>
          <w:sz w:val="20"/>
        </w:rPr>
        <w:t>New Warrant</w:t>
      </w:r>
      <w:r>
        <w:rPr>
          <w:rFonts w:ascii="Times New Roman;Times;serif" w:hAnsi="Times New Roman;Times;serif"/>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Times;serif" w:hAnsi="Times New Roman;Times;serif"/>
          <w:sz w:val="20"/>
          <w:u w:val="single"/>
        </w:rPr>
        <w:t>Section 3</w:t>
      </w:r>
      <w:r>
        <w:rPr>
          <w:rFonts w:ascii="Times New Roman;Times;serif" w:hAnsi="Times New Roman;Times;serif"/>
          <w:sz w:val="20"/>
        </w:rPr>
        <w:t>.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i/>
          <w:sz w:val="20"/>
        </w:rPr>
        <w:t>Exercise and Duration of Warrants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or any part of this Warrant shall be exercisable by the registered Holder in the manner set forth herein at any time and from time to time on or after the Original Issue Date and on or prior to the Termination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Holder may exercise this Warrant by delivering to the Company (i) an exercise notice, in the form attached as Schedule 1 hereto (the “</w:t>
      </w:r>
      <w:r>
        <w:rPr>
          <w:rFonts w:ascii="Times New Roman;Times;serif" w:hAnsi="Times New Roman;Times;serif"/>
          <w:b/>
          <w:sz w:val="20"/>
        </w:rPr>
        <w:t>Exercise Notice</w:t>
      </w:r>
      <w:r>
        <w:rPr>
          <w:rFonts w:ascii="Times New Roman;Times;serif" w:hAnsi="Times New Roman;Times;serif"/>
          <w:sz w:val="20"/>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Times;serif" w:hAnsi="Times New Roman;Times;serif"/>
          <w:b/>
          <w:sz w:val="20"/>
        </w:rPr>
        <w:t>Exercise Date</w:t>
      </w:r>
      <w:r>
        <w:rPr>
          <w:rFonts w:ascii="Times New Roman;Times;serif" w:hAnsi="Times New Roman;Times;serif"/>
          <w:sz w:val="20"/>
        </w:rPr>
        <w:t xml:space="preserve">.” No later than one Trading Day following the delivery of such Exercise Notice, the Holder shall deliver to the Company payment of the Exercise Price for the number of Warrant Shares as to which this Warrant is being exercised by wire transfer or cashier’s check drawn on a United States bank unless the cashless exercise procedures specified in Section 10 below is specified in the applicable Exercise Notice.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w:t>
      </w:r>
      <w:r>
        <w:rPr>
          <w:rFonts w:ascii="Times New Roman;Times;serif" w:hAnsi="Times New Roman;Times;serif"/>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i/>
          <w:sz w:val="20"/>
        </w:rPr>
        <w:t>Delivery of Warrant Shares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Times;serif" w:hAnsi="Times New Roman;Times;serif"/>
          <w:b/>
          <w:sz w:val="20"/>
        </w:rPr>
        <w:t>DTC</w:t>
      </w:r>
      <w:r>
        <w:rPr>
          <w:rFonts w:ascii="Times New Roman;Times;serif" w:hAnsi="Times New Roman;Times;serif"/>
          <w:sz w:val="20"/>
        </w:rPr>
        <w:t>”) through its Deposit Withdrawal Agent Commission system, or if the Transfer Agent is not participating in the Fast Automated Securities Transfer Program (the “</w:t>
      </w:r>
      <w:r>
        <w:rPr>
          <w:rFonts w:ascii="Times New Roman;Times;serif" w:hAnsi="Times New Roman;Times;serif"/>
          <w:b/>
          <w:sz w:val="20"/>
        </w:rPr>
        <w:t>FAST Program</w:t>
      </w:r>
      <w:r>
        <w:rPr>
          <w:rFonts w:ascii="Times New Roman;Times;serif" w:hAnsi="Times New Roman;Times;serif"/>
          <w:sz w:val="20"/>
        </w:rPr>
        <w:t>”),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Times;serif" w:hAnsi="Times New Roman;Times;serif"/>
          <w:b/>
          <w:sz w:val="20"/>
        </w:rPr>
        <w:t>Person</w:t>
      </w:r>
      <w:r>
        <w:rPr>
          <w:rFonts w:ascii="Times New Roman;Times;serif" w:hAnsi="Times New Roman;Times;serif"/>
          <w:sz w:val="20"/>
        </w:rPr>
        <w:t>”)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1911" w:type="dxa"/>
        <w:jc w:val="center"/>
        <w:tblInd w:w="0" w:type="dxa"/>
        <w:tblLayout w:type="fixed"/>
        <w:tblCellMar>
          <w:top w:w="0" w:type="dxa"/>
          <w:left w:w="0" w:type="dxa"/>
          <w:bottom w:w="0" w:type="dxa"/>
          <w:right w:w="0" w:type="dxa"/>
        </w:tblCellMar>
      </w:tblPr>
      <w:tblGrid>
        <w:gridCol w:w="1546"/>
        <w:gridCol w:w="211"/>
        <w:gridCol w:w="154"/>
      </w:tblGrid>
      <w:tr>
        <w:trPr/>
        <w:tc>
          <w:tcPr>
            <w:tcW w:w="15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2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by the close of the second (2</w:t>
      </w:r>
      <w:r>
        <w:rPr>
          <w:rFonts w:ascii="Times New Roman;Times;serif" w:hAnsi="Times New Roman;Times;serif"/>
          <w:sz w:val="15"/>
        </w:rPr>
        <w:t>nd</w:t>
      </w:r>
      <w:r>
        <w:rPr>
          <w:rFonts w:ascii="Times New Roman;Times;serif" w:hAnsi="Times New Roman;Times;serif"/>
          <w:sz w:val="20"/>
        </w:rPr>
        <w:t xml:space="preserve">) Trading Day after the Exercise Date, the Company fails to deliver to the Holder a certificate representing the required number of Warrant Shares in the manner required pursuant to </w:t>
      </w:r>
      <w:r>
        <w:rPr>
          <w:rFonts w:ascii="Times New Roman;Times;serif" w:hAnsi="Times New Roman;Times;serif"/>
          <w:sz w:val="20"/>
          <w:u w:val="single"/>
        </w:rPr>
        <w:t>Section 5(a)</w:t>
      </w:r>
      <w:r>
        <w:rPr>
          <w:rFonts w:ascii="Times New Roman;Times;serif" w:hAnsi="Times New Roman;Times;serif"/>
          <w:sz w:val="20"/>
        </w:rPr>
        <w:t xml:space="preserve"> or fails to credit the Holder’s DTC account for such number of Warrant Shares to which the Holder is entitled, and if after such second (2</w:t>
      </w:r>
      <w:r>
        <w:rPr>
          <w:rFonts w:ascii="Times New Roman;Times;serif" w:hAnsi="Times New Roman;Times;serif"/>
          <w:sz w:val="15"/>
        </w:rPr>
        <w:t>nd</w:t>
      </w:r>
      <w:r>
        <w:rPr>
          <w:rFonts w:ascii="Times New Roman;Times;serif" w:hAnsi="Times New Roman;Times;serif"/>
          <w:sz w:val="20"/>
        </w:rPr>
        <w:t>) Trading Day and prior to the receipt of such Warrant Shares, the Holder purchases (in an open market transaction,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Times;serif" w:hAnsi="Times New Roman;Times;serif"/>
          <w:b/>
          <w:sz w:val="20"/>
        </w:rPr>
        <w:t>Buy-In</w:t>
      </w:r>
      <w:r>
        <w:rPr>
          <w:rFonts w:ascii="Times New Roman;Times;serif" w:hAnsi="Times New Roman;Times;serif"/>
          <w:sz w:val="20"/>
        </w:rPr>
        <w:t>”), then the Company shall, within two (2) Trading Days after the Holder’s request, in the Holder’s sole discretion, either (i)  pay cash to the Holder in an amount equal to the Holder’s total purchase price (including commercially reasonable brokerage commissions, if any) for the shares of Common Stock so purchased, at which point the Company’s obligation to deliver such Warrant Shares shall terminate, or (ii) (A) pay in cash to the Holder the amount, if any, by which (1) the Holder’s total purchase price (including commercially reasonable brokerage commissions, if any) for the shares of Common Stock purchased in the Buy-In exceeds (2) the product of (x) the number of Warrant Shares that the Company was required to deliver to the Holder in connection with the exercise at issue, times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shares of Common Stock that would have been issued had the Company timely complied with its exercise and delivery obligations hereunder. The provisions of this Section 5(b) shall be the only remedy available to the Holder in the event the Company fails to deliver to the Holder the required number of Warrant Shares in the manner required pursuant to Section 5(a) and a Buy-In occurs. Irrespective of whether there is a Buy-In, no remedy shall be available, notwithstanding the requirements of Section 5(a), unless and until the Company fails to deliver to the Holder the required number of Warrant Shares by the close of the third Trading Day after the Exercise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To the extent permitted by law and subject to Section 5(b), the Company’s obligations to issue and deliver Warrant Shares in accordance with and subject to the terms hereof (including the limitations set forth in Section 10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i/>
          <w:sz w:val="20"/>
        </w:rPr>
        <w:t>Charges, Taxes and Expenses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Issuance and delivery of certificates for shares of Common Stock upon exercise of this Warrant shall be made without charge to the Holder for any issue or transfer tax, transfer agent fee or other similar incidental tax or expense (excluding any applicable stamp duties) in respect of the issuance of such certificates, all of which taxes and expenses shall be paid by the Company;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the Company shall not be required to pay any tax that may be payable in respect of any transfer involved in the registration of any certificates for Warrant Shares or the Warrants in a name other than that of the</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1911" w:type="dxa"/>
        <w:jc w:val="center"/>
        <w:tblInd w:w="0" w:type="dxa"/>
        <w:tblLayout w:type="fixed"/>
        <w:tblCellMar>
          <w:top w:w="0" w:type="dxa"/>
          <w:left w:w="0" w:type="dxa"/>
          <w:bottom w:w="0" w:type="dxa"/>
          <w:right w:w="0" w:type="dxa"/>
        </w:tblCellMar>
      </w:tblPr>
      <w:tblGrid>
        <w:gridCol w:w="1546"/>
        <w:gridCol w:w="211"/>
        <w:gridCol w:w="154"/>
      </w:tblGrid>
      <w:tr>
        <w:trPr/>
        <w:tc>
          <w:tcPr>
            <w:tcW w:w="15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2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 thereof. The Holder shall be responsible for all other tax liability that may arise as a result of holding or transferring this Warrant or receiving Warrant Shares upon exercise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Holder agrees that applicable withholding taxes (including backup withholding) may be withheld from payments and deemed payments on or with respect to this Warrant, and if any such withholding taxes (including backup withholding) are paid on behalf of the Holder, then those withholding taxes may be set off against payments of cash or the delivery of shares of Common Stock or other consideration, if any, in respect of this Warrant (or any payments on Common Stock) or sales proceeds received by, or other funds or assets of, the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On the Original Issue Date (or in the case of any transferee, the date such transferee becomes Holder), and thereinafter upon reasonable request or as required under applicable law, to the extent permitted by applicable law, tax forms or other documentation (including any applicable IRS Form W-8/W-9) reasonably satisfactory to the Company or other applicable withholding agent to establish an exemption from United States withholding tax on payments and deliveries hereunder as well as an exemption from, or a reduction in the rate of, U.S. withholding that may apply to any dividend or constructive dividend (e.g., under Section 305(c) of the Internal Revenue  Code of 1986, as amended). The Company may determine in its reasonable discretion the amount and the timing of any such constructive dividend.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i/>
          <w:sz w:val="20"/>
        </w:rPr>
        <w:t>Replacement of Warrant</w:t>
      </w:r>
      <w:r>
        <w:rPr>
          <w:rFonts w:ascii="Times New Roman;Times;serif" w:hAnsi="Times New Roman;Times;serif"/>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i/>
          <w:sz w:val="20"/>
        </w:rPr>
        <w:t>Reservation of Warrant Shares</w:t>
      </w:r>
      <w:r>
        <w:rPr>
          <w:rFonts w:ascii="Times New Roman;Times;serif" w:hAnsi="Times New Roman;Times;serif"/>
          <w:sz w:val="20"/>
        </w:rPr>
        <w:t>. The Company covenants that it will, at all times while this Warrant is issued and outstanding, reserve and keep available out of the aggregate of its authorized but unissued and otherwise unreserved shares of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shares of Common Stock may be listed. The Company further covenants that it will not, without the prior written consent of the Holder, take any actions to increase the par value of the shares of Common Stock at any time while this Warrant is issued and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i/>
          <w:sz w:val="20"/>
        </w:rPr>
        <w:t>Certain Adjustments</w:t>
      </w:r>
      <w:r>
        <w:rPr>
          <w:rFonts w:ascii="Times New Roman;Times;serif" w:hAnsi="Times New Roman;Times;serif"/>
          <w:sz w:val="20"/>
        </w:rPr>
        <w:t>. The Exercise Price and number of Warrant Shares issuable upon exercise of this Warrant are subject to adjustment from time to time as set forth in this Section 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Stock Dividends and Splits</w:t>
      </w:r>
      <w:r>
        <w:rPr>
          <w:rFonts w:ascii="Times New Roman;Times;serif" w:hAnsi="Times New Roman;Times;serif"/>
          <w:sz w:val="20"/>
        </w:rPr>
        <w:t>. If the Company, at any time while this Warrant is issued and outstanding, (i) pays a stock dividend on its shares of Common Stock or otherwise makes a distribution on any class of capital shares issued and outstanding on the Original Issue Date and in</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1911" w:type="dxa"/>
        <w:jc w:val="center"/>
        <w:tblInd w:w="0" w:type="dxa"/>
        <w:tblLayout w:type="fixed"/>
        <w:tblCellMar>
          <w:top w:w="0" w:type="dxa"/>
          <w:left w:w="0" w:type="dxa"/>
          <w:bottom w:w="0" w:type="dxa"/>
          <w:right w:w="0" w:type="dxa"/>
        </w:tblCellMar>
      </w:tblPr>
      <w:tblGrid>
        <w:gridCol w:w="1546"/>
        <w:gridCol w:w="211"/>
        <w:gridCol w:w="154"/>
      </w:tblGrid>
      <w:tr>
        <w:trPr/>
        <w:tc>
          <w:tcPr>
            <w:tcW w:w="15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2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accordance with the terms of such stock on the Original Issue Date or as amended, as described in the Registration Statement, that is payable in shares of Common Stock, (ii) subdivides its issued and outstanding shares of Common Stock into a larger number of shares of Common Stock, (iii) combines its issued and outstanding shares of Common Stock into a smaller number of shares of Common Stock or (iv) issues by reclassification of capital shares any additional shares of Common Stock of the Company, then in each such case the number of Warrant Shares shall be multiplied by a fraction, the numerator of which shall be the number of shares of Common Stock issued and outstanding immediately before such event and the denominator of which shall be the number of shares of Common Stock issued and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or combination or reclassification.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Pro Rata Distributions</w:t>
      </w:r>
      <w:r>
        <w:rPr>
          <w:rFonts w:ascii="Times New Roman;Times;serif" w:hAnsi="Times New Roman;Times;serif"/>
          <w:sz w:val="20"/>
        </w:rPr>
        <w:t>. If the Company, at any time while this Warrant is issued and outstanding, distributes to all holders of shares of Common Stock for no consideration (i) evidences of its indebtedness, (ii) any security (other than a distribution of shares of Common Stock covered by the preceding paragraph), (iii) rights or warrants to subscribe for or purchase any security, or (iv) cash or any other asset (in each case, “</w:t>
      </w:r>
      <w:r>
        <w:rPr>
          <w:rFonts w:ascii="Times New Roman;Times;serif" w:hAnsi="Times New Roman;Times;serif"/>
          <w:b/>
          <w:sz w:val="20"/>
        </w:rPr>
        <w:t>Distributed Property</w:t>
      </w:r>
      <w:r>
        <w:rPr>
          <w:rFonts w:ascii="Times New Roman;Times;serif" w:hAnsi="Times New Roman;Times;serif"/>
          <w:sz w:val="20"/>
        </w:rPr>
        <w:t>”),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Fundamental Transactions</w:t>
      </w:r>
      <w:r>
        <w:rPr>
          <w:rFonts w:ascii="Times New Roman;Times;serif" w:hAnsi="Times New Roman;Times;serif"/>
          <w:sz w:val="20"/>
        </w:rPr>
        <w:t>. If, at any time while this Warrant is issued and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outstanding capital stock or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outstanding capital stock of the Company or more than 50% of the voting power of the capital stock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50% of the outstanding capital stock of the Company or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shares of Common Stock or any compulsory share exchange pursuant to which the shares of Common Stock are effectively converted into or exchanged for other securities, cash or property (other than as a result of a subdivision or combination of shares of Common Stock covered by Section 9(a) above) (in any such case, a “</w:t>
      </w:r>
      <w:r>
        <w:rPr>
          <w:rFonts w:ascii="Times New Roman;Times;serif" w:hAnsi="Times New Roman;Times;serif"/>
          <w:b/>
          <w:sz w:val="20"/>
        </w:rPr>
        <w:t>Fundamental Transaction</w:t>
      </w:r>
      <w:r>
        <w:rPr>
          <w:rFonts w:ascii="Times New Roman;Times;serif" w:hAnsi="Times New Roman;Times;serif"/>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1911" w:type="dxa"/>
        <w:jc w:val="center"/>
        <w:tblInd w:w="0" w:type="dxa"/>
        <w:tblLayout w:type="fixed"/>
        <w:tblCellMar>
          <w:top w:w="0" w:type="dxa"/>
          <w:left w:w="0" w:type="dxa"/>
          <w:bottom w:w="0" w:type="dxa"/>
          <w:right w:w="0" w:type="dxa"/>
        </w:tblCellMar>
      </w:tblPr>
      <w:tblGrid>
        <w:gridCol w:w="1546"/>
        <w:gridCol w:w="211"/>
        <w:gridCol w:w="154"/>
      </w:tblGrid>
      <w:tr>
        <w:trPr/>
        <w:tc>
          <w:tcPr>
            <w:tcW w:w="15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2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Fundamental Transaction, the holder of the number of Warrant Shares then issuable upon exercise in full of this Warrant without regard to any limitations on exercise contained herein (the “</w:t>
      </w:r>
      <w:r>
        <w:rPr>
          <w:rFonts w:ascii="Times New Roman;Times;serif" w:hAnsi="Times New Roman;Times;serif"/>
          <w:b/>
          <w:sz w:val="20"/>
        </w:rPr>
        <w:t>Alternate Consideration</w:t>
      </w:r>
      <w:r>
        <w:rPr>
          <w:rFonts w:ascii="Times New Roman;Times;serif" w:hAnsi="Times New Roman;Times;serif"/>
          <w:sz w:val="20"/>
        </w:rPr>
        <w:t>”). The Company shall not effect any Fundamental Transaction in which the Company is not the surviving entity or the Alternate Consideration includes securities of another Person unless (i) the Alternate Consideration consists solely of cash, solely of Marketable Securities or a combination of cash and Marketable Securities or (ii)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Section 9(c) shall similarly apply to subsequent transactions analogous of a Fundamental Transaction type. Notwithstanding anything to the contrary, in the event of a Fundamental Transaction, the Company or any successor entity to the Company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to the Company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b/>
          <w:sz w:val="20"/>
        </w:rPr>
        <w:t>Black Scholes Value</w:t>
      </w:r>
      <w:r>
        <w:rPr>
          <w:rFonts w:ascii="Times New Roman;Times;serif" w:hAnsi="Times New Roman;Times;serif"/>
          <w:sz w:val="20"/>
        </w:rPr>
        <w:t>” means the value of this Warrant based on the Black-Scholes Option Pricing Model obtained from the “OV” function on Bloomberg, L.P. (“</w:t>
      </w:r>
      <w:r>
        <w:rPr>
          <w:rFonts w:ascii="Times New Roman;Times;serif" w:hAnsi="Times New Roman;Times;serif"/>
          <w:b/>
          <w:sz w:val="20"/>
        </w:rPr>
        <w:t>Bloomberg</w:t>
      </w:r>
      <w:r>
        <w:rPr>
          <w:rFonts w:ascii="Times New Roman;Times;serif" w:hAnsi="Times New Roman;Times;serif"/>
          <w:sz w:val="20"/>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9(c),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five (5) Trading Days of the Holder’s election (or, if later, on the date of consummation of the Fundamental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Exercise Price</w:t>
      </w:r>
      <w:r>
        <w:rPr>
          <w:rFonts w:ascii="Times New Roman;Times;serif" w:hAnsi="Times New Roman;Times;serif"/>
          <w:sz w:val="20"/>
        </w:rPr>
        <w:t>. Simultaneously with any adjustment to the number of Warrant Shares pursuant to Section 9,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1911" w:type="dxa"/>
        <w:jc w:val="center"/>
        <w:tblInd w:w="0" w:type="dxa"/>
        <w:tblLayout w:type="fixed"/>
        <w:tblCellMar>
          <w:top w:w="0" w:type="dxa"/>
          <w:left w:w="0" w:type="dxa"/>
          <w:bottom w:w="0" w:type="dxa"/>
          <w:right w:w="0" w:type="dxa"/>
        </w:tblCellMar>
      </w:tblPr>
      <w:tblGrid>
        <w:gridCol w:w="1546"/>
        <w:gridCol w:w="211"/>
        <w:gridCol w:w="154"/>
      </w:tblGrid>
      <w:tr>
        <w:trPr/>
        <w:tc>
          <w:tcPr>
            <w:tcW w:w="15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2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adjustment. Notwithstanding the foregoing, in no event may the Exercise Price be adjusted below the par value of the shares of Common Stock then in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Calculations</w:t>
      </w:r>
      <w:r>
        <w:rPr>
          <w:rFonts w:ascii="Times New Roman;Times;serif" w:hAnsi="Times New Roman;Times;serif"/>
          <w:sz w:val="20"/>
        </w:rPr>
        <w:t xml:space="preserve">. All calculations under this </w:t>
      </w:r>
      <w:r>
        <w:rPr>
          <w:rFonts w:ascii="Times New Roman;Times;serif" w:hAnsi="Times New Roman;Times;serif"/>
          <w:sz w:val="20"/>
          <w:u w:val="single"/>
        </w:rPr>
        <w:t>Section 9</w:t>
      </w:r>
      <w:r>
        <w:rPr>
          <w:rFonts w:ascii="Times New Roman;Times;serif" w:hAnsi="Times New Roman;Times;serif"/>
          <w:sz w:val="20"/>
        </w:rPr>
        <w:t xml:space="preserve"> shall be made to the nearest one-millionth of one cent or the nearest share,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Notice of Adjustments</w:t>
      </w:r>
      <w:r>
        <w:rPr>
          <w:rFonts w:ascii="Times New Roman;Times;serif" w:hAnsi="Times New Roman;Times;serif"/>
          <w:sz w:val="20"/>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Notice of Corporate Events</w:t>
      </w:r>
      <w:r>
        <w:rPr>
          <w:rFonts w:ascii="Times New Roman;Times;serif" w:hAnsi="Times New Roman;Times;serif"/>
          <w:sz w:val="20"/>
        </w:rPr>
        <w:t xml:space="preserve">. If, while this Warrant is issued and outstanding, the Company (i) declares a dividend or any other distribution of cash, securities or other property in respect of its shares of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shares of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issued and outstanding, the Company authorizes or approves, enters into any agreement contemplating or solicits stockholder approval for any Fundamental Transaction contemplated by </w:t>
      </w:r>
      <w:r>
        <w:rPr>
          <w:rFonts w:ascii="Times New Roman;Times;serif" w:hAnsi="Times New Roman;Times;serif"/>
          <w:sz w:val="20"/>
          <w:u w:val="single"/>
        </w:rPr>
        <w:t>Section 9(c)</w:t>
      </w:r>
      <w:r>
        <w:rPr>
          <w:rFonts w:ascii="Times New Roman;Times;serif" w:hAnsi="Times New Roman;Times;serif"/>
          <w:sz w:val="20"/>
        </w:rPr>
        <w:t xml:space="preserve">, other than a Fundamental Transaction under clause (iii) of </w:t>
      </w:r>
      <w:r>
        <w:rPr>
          <w:rFonts w:ascii="Times New Roman;Times;serif" w:hAnsi="Times New Roman;Times;serif"/>
          <w:sz w:val="20"/>
          <w:u w:val="single"/>
        </w:rPr>
        <w:t>Section 9(c)</w:t>
      </w:r>
      <w:r>
        <w:rPr>
          <w:rFonts w:ascii="Times New Roman;Times;serif" w:hAnsi="Times New Roman;Times;serif"/>
          <w:sz w:val="20"/>
        </w:rPr>
        <w:t>, then, except if such notice and the contents thereof shall be deemed to constitute material non-public information, the Company shall deliver to the Holder a notice of such Fundamental Transaction at least ten (10) days prior to the date such Fundamental Transaction is consummated.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Voluntary Adjustment by Company.  Subject to the rules and regulations of the trading market, the Company may at any time during the term of this Warrant reduce the then current Exercise Price to any amount and for any period of time deemed appropriate by the Board of Directors of the Company.  The Company may extend the duration of this Warrant by delaying the Termination Date; provided, however, that the Company will provide notice of not less than ten (10) days to the Holder.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i/>
          <w:sz w:val="20"/>
        </w:rPr>
        <w:t>Payment of Cashless Exercise Price</w:t>
      </w:r>
      <w:r>
        <w:rPr>
          <w:rFonts w:ascii="Times New Roman;Times;serif" w:hAnsi="Times New Roman;Times;serif"/>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in an exchange of securities effected pursuant to Section 3(a)(9) of the Securities Act as determined as follows: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952500" cy="457200"/>
            <wp:effectExtent l="0" t="0" r="0" b="0"/>
            <wp:docPr id="48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5" descr=""/>
                    <pic:cNvPicPr>
                      <a:picLocks noChangeAspect="1" noChangeArrowheads="1"/>
                    </pic:cNvPicPr>
                  </pic:nvPicPr>
                  <pic:blipFill>
                    <a:blip r:embed="rId69"/>
                    <a:stretch>
                      <a:fillRect/>
                    </a:stretch>
                  </pic:blipFill>
                  <pic:spPr bwMode="auto">
                    <a:xfrm>
                      <a:off x="0" y="0"/>
                      <a:ext cx="952500" cy="4572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where:</w:t>
      </w:r>
    </w:p>
    <w:p>
      <w:pPr>
        <w:pStyle w:val="TextBody"/>
        <w:bidi w:val="0"/>
        <w:spacing w:before="0" w:after="240"/>
        <w:ind w:left="720" w:right="0" w:hanging="0"/>
        <w:jc w:val="both"/>
        <w:rPr/>
      </w:pPr>
      <w:r>
        <w:rPr/>
        <w:t>“</w:t>
      </w:r>
      <w:r>
        <w:rPr>
          <w:rFonts w:ascii="Times New Roman;Times;serif" w:hAnsi="Times New Roman;Times;serif"/>
          <w:sz w:val="20"/>
        </w:rPr>
        <w:t>X” equals the number of Warrant Shares to be issued to the Holder;</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1911" w:type="dxa"/>
        <w:jc w:val="center"/>
        <w:tblInd w:w="0" w:type="dxa"/>
        <w:tblLayout w:type="fixed"/>
        <w:tblCellMar>
          <w:top w:w="0" w:type="dxa"/>
          <w:left w:w="0" w:type="dxa"/>
          <w:bottom w:w="0" w:type="dxa"/>
          <w:right w:w="0" w:type="dxa"/>
        </w:tblCellMar>
      </w:tblPr>
      <w:tblGrid>
        <w:gridCol w:w="1546"/>
        <w:gridCol w:w="211"/>
        <w:gridCol w:w="154"/>
      </w:tblGrid>
      <w:tr>
        <w:trPr/>
        <w:tc>
          <w:tcPr>
            <w:tcW w:w="15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2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r>
        <w:rPr>
          <w:rFonts w:ascii="Times New Roman;Times;serif" w:hAnsi="Times New Roman;Times;serif"/>
          <w:sz w:val="20"/>
        </w:rPr>
        <w:t>Y” equals the total number of Warrant Shares with respect to which this Warrant is then being exercised (determined solely for purposes of this definition as if the Warrant were exercised by means of a cash exercise rather than a cashless basis);</w:t>
      </w:r>
    </w:p>
    <w:p>
      <w:pPr>
        <w:pStyle w:val="TextBody"/>
        <w:bidi w:val="0"/>
        <w:spacing w:before="0" w:after="240"/>
        <w:ind w:left="720" w:right="0" w:hanging="0"/>
        <w:jc w:val="both"/>
        <w:rPr/>
      </w:pPr>
      <w:r>
        <w:rPr/>
        <w:t>“</w:t>
      </w:r>
      <w:r>
        <w:rPr>
          <w:rFonts w:ascii="Times New Roman;Times;serif" w:hAnsi="Times New Roman;Times;serif"/>
          <w:sz w:val="20"/>
        </w:rPr>
        <w:t>A” equals the last VWAP immediately preceding the delivery of the applicable Exercise Notice (to clarify, the “last VWAP” will be the last VWAP as calculated over an entire Trading Day such that, in the event that this Warrant is exercised at a time that the Trading Market is open, the prior Trading Day’s VWAP shall be used in this calculation); and</w:t>
      </w:r>
    </w:p>
    <w:p>
      <w:pPr>
        <w:pStyle w:val="TextBody"/>
        <w:bidi w:val="0"/>
        <w:spacing w:before="0" w:after="240"/>
        <w:ind w:left="720" w:right="0" w:hanging="0"/>
        <w:jc w:val="both"/>
        <w:rPr/>
      </w:pPr>
      <w:r>
        <w:rPr/>
        <w:t>“</w:t>
      </w:r>
      <w:r>
        <w:rPr>
          <w:rFonts w:ascii="Times New Roman;Times;serif" w:hAnsi="Times New Roman;Times;serif"/>
          <w:sz w:val="20"/>
        </w:rPr>
        <w:t>B” equals the Exercise Price per Warrant Share then in effect on the Exercise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Rule 144 promulgated under the Securities Act, it is intended, understood and acknowledged that the Warrant Shares issued in such a “cashless exercise” transaction shall take on the registered characteristics of the Warrants being exercised and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set forth in Section 5(b) or Section 13, in no event will the exercise of this Warrant be settled in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i/>
          <w:sz w:val="20"/>
        </w:rPr>
        <w:t>Limitations on Exercise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result in (i) the aggregate number of shares of Common Stock beneficially owned by the Holder, its Affiliates and any other Persons whose beneficial ownership of shares of Common Stock would be aggregated with the Holder’s for purposes of Section 13(d) of the Exchange Act (such as any other members of a Section 13(d) “group”) exceeding 4.99% (the “</w:t>
      </w:r>
      <w:r>
        <w:rPr>
          <w:rFonts w:ascii="Times New Roman;Times;serif" w:hAnsi="Times New Roman;Times;serif"/>
          <w:b/>
          <w:sz w:val="20"/>
        </w:rPr>
        <w:t>Maximum Percentage</w:t>
      </w:r>
      <w:r>
        <w:rPr>
          <w:rFonts w:ascii="Times New Roman;Times;serif" w:hAnsi="Times New Roman;Times;serif"/>
          <w:sz w:val="20"/>
        </w:rPr>
        <w:t>”) of the total number of issued and outstanding shares of Common Stock of the Company following such exercise, or (ii) the combined voting power of the securities of the Company beneficially owned by the Holder and its Affiliates and any other Persons whose beneficial ownership of shares of Common Stock would be aggregated with the Holder’s for purposes of Section 13(d) of the Exchange Act (such as any other members of a Section 13(d) “group”) exceeding 4.99%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date hereof, (y) a more recent public announcement by the Company or (z) any other notice by the Company or its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w:t>
      </w:r>
      <w:r>
        <w:rPr>
          <w:rFonts w:ascii="Times New Roman;Times;serif" w:hAnsi="Times New Roman;Times;serif"/>
          <w:sz w:val="15"/>
        </w:rPr>
        <w:t>st</w:t>
      </w:r>
      <w:r>
        <w:rPr>
          <w:rFonts w:ascii="Times New Roman;Times;serif" w:hAnsi="Times New Roman;Times;serif"/>
          <w:sz w:val="20"/>
        </w:rPr>
        <w:t xml:space="preserve">) day after such notice is delivered to the Company. For purposes of this </w:t>
      </w:r>
      <w:r>
        <w:rPr>
          <w:rFonts w:ascii="Times New Roman;Times;serif" w:hAnsi="Times New Roman;Times;serif"/>
          <w:sz w:val="20"/>
          <w:u w:val="single"/>
        </w:rPr>
        <w:t>Section 11(a)</w:t>
      </w:r>
      <w:r>
        <w:rPr>
          <w:rFonts w:ascii="Times New Roman;Times;serif" w:hAnsi="Times New Roman;Times;serif"/>
          <w:sz w:val="20"/>
        </w:rPr>
        <w:t>, the aggregate number of shares of Common Stock or voting securities beneficially owned by the Holder and its Affiliates and any other Persons whose beneficial ownership of shares of Common Stock would be aggregated with the Holder’s for purposes of Section 13(d) of the Exchange Act (such as any other members of a Section 13(d) “group”) shall include the shares of</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1911" w:type="dxa"/>
        <w:jc w:val="center"/>
        <w:tblInd w:w="0" w:type="dxa"/>
        <w:tblLayout w:type="fixed"/>
        <w:tblCellMar>
          <w:top w:w="0" w:type="dxa"/>
          <w:left w:w="0" w:type="dxa"/>
          <w:bottom w:w="0" w:type="dxa"/>
          <w:right w:w="0" w:type="dxa"/>
        </w:tblCellMar>
      </w:tblPr>
      <w:tblGrid>
        <w:gridCol w:w="1546"/>
        <w:gridCol w:w="211"/>
        <w:gridCol w:w="154"/>
      </w:tblGrid>
      <w:tr>
        <w:trPr/>
        <w:tc>
          <w:tcPr>
            <w:tcW w:w="15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2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 is subject to a limitation on conversion or exercise analogous to the limitation contained herein and is beneficially owned by the Holder or any of its Affiliates and other Persons whose beneficial ownership of shares of Common Stock would be aggregated with the Holder’s for purposes of Section 13(d) of the Exchange Act (such as any other members of a Section 13(d)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This </w:t>
      </w:r>
      <w:r>
        <w:rPr>
          <w:rFonts w:ascii="Times New Roman;Times;serif" w:hAnsi="Times New Roman;Times;serif"/>
          <w:sz w:val="20"/>
          <w:u w:val="single"/>
        </w:rPr>
        <w:t>Section 11</w:t>
      </w:r>
      <w:r>
        <w:rPr>
          <w:rFonts w:ascii="Times New Roman;Times;serif" w:hAnsi="Times New Roman;Times;serif"/>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Times;serif" w:hAnsi="Times New Roman;Times;serif"/>
          <w:sz w:val="20"/>
          <w:u w:val="single"/>
        </w:rPr>
        <w:t>Section 9(c)</w:t>
      </w:r>
      <w:r>
        <w:rPr>
          <w:rFonts w:ascii="Times New Roman;Times;serif" w:hAnsi="Times New Roman;Times;serif"/>
          <w:sz w:val="20"/>
        </w:rPr>
        <w:t xml:space="preserve"> of this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i/>
          <w:sz w:val="20"/>
        </w:rPr>
        <w:t>No Fractional Shares</w:t>
      </w:r>
      <w:r>
        <w:rPr>
          <w:rFonts w:ascii="Times New Roman;Times;serif" w:hAnsi="Times New Roman;Times;serif"/>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i/>
          <w:sz w:val="20"/>
        </w:rPr>
        <w:t>Notices</w:t>
      </w:r>
      <w:r>
        <w:rPr>
          <w:rFonts w:ascii="Times New Roman;Times;serif" w:hAnsi="Times New Roman;Times;serif"/>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BioXcel Therapeutics, Inc.</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555 Long Wharf Drive</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New Haven, CT 06511</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Attention: Javier Rodriguez, Senior Vice President,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Chief Legal Officer and Corporate Secretary</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Email: jrodriguez@bioxceltherapeutics.com</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With a copy (which will not constitute notice) to:</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Latham &amp; Watkins LLP</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200 Clarendon Street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Boston, MA 02116</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Attn: Peter N. Handrinos; Keith L. Halverstam</w:t>
      </w:r>
    </w:p>
    <w:p>
      <w:pPr>
        <w:pStyle w:val="TextBody"/>
        <w:bidi w:val="0"/>
        <w:spacing w:before="0" w:after="220"/>
        <w:ind w:left="2160" w:right="0" w:hanging="0"/>
        <w:jc w:val="both"/>
        <w:rPr>
          <w:rFonts w:ascii="Times New Roman;Times;serif" w:hAnsi="Times New Roman;Times;serif"/>
          <w:sz w:val="20"/>
        </w:rPr>
      </w:pPr>
      <w:r>
        <w:rPr>
          <w:rFonts w:ascii="Times New Roman;Times;serif" w:hAnsi="Times New Roman;Times;serif"/>
          <w:sz w:val="20"/>
        </w:rPr>
        <w:t>Email: peter.handrinos@lw.com; keith.halverstam@lw.com</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2016" w:type="dxa"/>
        <w:jc w:val="center"/>
        <w:tblInd w:w="0" w:type="dxa"/>
        <w:tblLayout w:type="fixed"/>
        <w:tblCellMar>
          <w:top w:w="0" w:type="dxa"/>
          <w:left w:w="0" w:type="dxa"/>
          <w:bottom w:w="0" w:type="dxa"/>
          <w:right w:w="0" w:type="dxa"/>
        </w:tblCellMar>
      </w:tblPr>
      <w:tblGrid>
        <w:gridCol w:w="1546"/>
        <w:gridCol w:w="316"/>
        <w:gridCol w:w="154"/>
      </w:tblGrid>
      <w:tr>
        <w:trPr/>
        <w:tc>
          <w:tcPr>
            <w:tcW w:w="15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31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to the Holder, to its address or e-mail address set forth herein or on the books and records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in each of the above instances, to such other address or e-mail address as the recipient party has specified by written notice given to each other party at least five (5) days prior to the effectiveness of such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i/>
          <w:sz w:val="20"/>
        </w:rPr>
        <w:t>Warrant Agent</w:t>
      </w:r>
      <w:r>
        <w:rPr>
          <w:rFonts w:ascii="Times New Roman;Times;serif" w:hAnsi="Times New Roman;Times;serif"/>
          <w:sz w:val="20"/>
        </w:rPr>
        <w:t>.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i/>
          <w:sz w:val="20"/>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No Rights as a Stockholder</w:t>
      </w:r>
      <w:r>
        <w:rPr>
          <w:rFonts w:ascii="Times New Roman;Times;serif" w:hAnsi="Times New Roman;Times;serif"/>
          <w:sz w:val="20"/>
        </w:rPr>
        <w:t>.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Authorized Shares</w:t>
      </w:r>
      <w:r>
        <w:rPr>
          <w:rFonts w:ascii="Times New Roman;Times;serif" w:hAnsi="Times New Roman;Times;serif"/>
          <w:sz w:val="20"/>
        </w:rPr>
        <w:t>. Except and to the extent as waived or consented to by the Holder, the Company shall not by any action, including, without limitation, amending its certificate or articles of incorporation or through any reorganization, transfer of assets, consolidation, merger, amalgamation,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Successors and Assigns</w:t>
      </w:r>
      <w:r>
        <w:rPr>
          <w:rFonts w:ascii="Times New Roman;Times;serif" w:hAnsi="Times New Roman;Times;serif"/>
          <w:sz w:val="20"/>
        </w:rPr>
        <w:t>. Subject to compliance with applicable securities laws, this Warrant may be assigned by the Holder. This Warrant may not be assigned by the Company without the written consent of the Holder, except to a successor in the event of a Fundamental Transaction in which this Warrant is not automatically “cashless exercised”.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2016" w:type="dxa"/>
        <w:jc w:val="center"/>
        <w:tblInd w:w="0" w:type="dxa"/>
        <w:tblLayout w:type="fixed"/>
        <w:tblCellMar>
          <w:top w:w="0" w:type="dxa"/>
          <w:left w:w="0" w:type="dxa"/>
          <w:bottom w:w="0" w:type="dxa"/>
          <w:right w:w="0" w:type="dxa"/>
        </w:tblCellMar>
      </w:tblPr>
      <w:tblGrid>
        <w:gridCol w:w="1546"/>
        <w:gridCol w:w="316"/>
        <w:gridCol w:w="154"/>
      </w:tblGrid>
      <w:tr>
        <w:trPr/>
        <w:tc>
          <w:tcPr>
            <w:tcW w:w="15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31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Amendment and Waiver</w:t>
      </w:r>
      <w:r>
        <w:rPr>
          <w:rFonts w:ascii="Times New Roman;Times;serif" w:hAnsi="Times New Roman;Times;serif"/>
          <w:sz w:val="20"/>
        </w:rPr>
        <w:t>. Except as otherwise provided herein, this Warrant may be modified or amended or the provisions hereof waived with the written consent of the Company and the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Acceptance</w:t>
      </w:r>
      <w:r>
        <w:rPr>
          <w:rFonts w:ascii="Times New Roman;Times;serif" w:hAnsi="Times New Roman;Times;serif"/>
          <w:sz w:val="20"/>
        </w:rPr>
        <w:t>. Receipt of this Warrant by the Holder shall constitute acceptance of and agreement to all of the terms and conditions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Governing Law; Jurisdiction</w:t>
      </w:r>
      <w:r>
        <w:rPr>
          <w:rFonts w:ascii="Times New Roman;Times;serif" w:hAnsi="Times New Roman;Times;serif"/>
          <w:sz w:val="20"/>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Headings</w:t>
      </w:r>
      <w:r>
        <w:rPr>
          <w:rFonts w:ascii="Times New Roman;Times;serif" w:hAnsi="Times New Roman;Times;serif"/>
          <w:sz w:val="20"/>
        </w:rPr>
        <w:t>. The headings herein are for convenience only, do not constitute a part of this Warrant and shall not be deemed to limit or affect any of the provisions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Severability</w:t>
      </w:r>
      <w:r>
        <w:rPr>
          <w:rFonts w:ascii="Times New Roman;Times;serif" w:hAnsi="Times New Roman;Times;serif"/>
          <w:sz w:val="20"/>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[REMAINDER OF PAGE INTENTIONALLY LEFT BLANK]</w:t>
      </w:r>
    </w:p>
    <w:p>
      <w:pPr>
        <w:pStyle w:val="TextBody"/>
        <w:bidi w:val="0"/>
        <w:spacing w:before="0" w:after="160"/>
        <w:ind w:left="0" w:right="0" w:hanging="0"/>
        <w:jc w:val="left"/>
        <w:rPr/>
      </w:pPr>
      <w:r>
        <w:rPr/>
        <w:t>​</w:t>
      </w:r>
    </w:p>
    <w:p>
      <w:pPr>
        <w:pStyle w:val="TextBody"/>
        <w:bidi w:val="0"/>
        <w:spacing w:before="280" w:after="0"/>
        <w:ind w:left="0" w:right="0" w:hanging="0"/>
        <w:jc w:val="left"/>
        <w:rPr/>
      </w:pPr>
      <w:r>
        <w:rPr/>
        <w:t>​</w:t>
      </w:r>
    </w:p>
    <w:tbl>
      <w:tblPr>
        <w:tblW w:w="2016" w:type="dxa"/>
        <w:jc w:val="center"/>
        <w:tblInd w:w="0" w:type="dxa"/>
        <w:tblLayout w:type="fixed"/>
        <w:tblCellMar>
          <w:top w:w="0" w:type="dxa"/>
          <w:left w:w="0" w:type="dxa"/>
          <w:bottom w:w="0" w:type="dxa"/>
          <w:right w:w="0" w:type="dxa"/>
        </w:tblCellMar>
      </w:tblPr>
      <w:tblGrid>
        <w:gridCol w:w="1546"/>
        <w:gridCol w:w="316"/>
        <w:gridCol w:w="154"/>
      </w:tblGrid>
      <w:tr>
        <w:trPr/>
        <w:tc>
          <w:tcPr>
            <w:tcW w:w="15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31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Warrant to be duly executed by its authorized officer as of the date first indicated above.</w:t>
      </w:r>
    </w:p>
    <w:p>
      <w:pPr>
        <w:pStyle w:val="TextBody"/>
        <w:bidi w:val="0"/>
        <w:spacing w:before="0" w:after="0"/>
        <w:ind w:left="0" w:right="0" w:hanging="0"/>
        <w:jc w:val="left"/>
        <w:rPr/>
      </w:pPr>
      <w:r>
        <w:rPr/>
        <w:t>​</w:t>
      </w:r>
    </w:p>
    <w:tbl>
      <w:tblPr>
        <w:tblW w:w="4896" w:type="dxa"/>
        <w:jc w:val="center"/>
        <w:tblInd w:w="0" w:type="dxa"/>
        <w:tblLayout w:type="fixed"/>
        <w:tblCellMar>
          <w:top w:w="0" w:type="dxa"/>
          <w:left w:w="0" w:type="dxa"/>
          <w:bottom w:w="0" w:type="dxa"/>
          <w:right w:w="0" w:type="dxa"/>
        </w:tblCellMar>
      </w:tblPr>
      <w:tblGrid>
        <w:gridCol w:w="124"/>
        <w:gridCol w:w="631"/>
        <w:gridCol w:w="414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BIOXCEL THERAPEUTICS, INC.</w:t>
            </w:r>
          </w:p>
        </w:tc>
      </w:tr>
      <w:tr>
        <w:trPr/>
        <w:tc>
          <w:tcPr>
            <w:tcW w:w="124" w:type="dxa"/>
            <w:tcBorders/>
            <w:vAlign w:val="center"/>
          </w:tcPr>
          <w:p>
            <w:pPr>
              <w:pStyle w:val="TableContents"/>
              <w:bidi w:val="0"/>
              <w:spacing w:before="0" w:after="0"/>
              <w:ind w:left="0" w:right="0" w:hanging="0"/>
              <w:jc w:val="left"/>
              <w:rPr/>
            </w:pPr>
            <w:r>
              <w:rPr/>
              <w:t>​</w:t>
            </w:r>
          </w:p>
        </w:tc>
        <w:tc>
          <w:tcPr>
            <w:tcW w:w="477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pPr>
      <w:r>
        <w:rPr/>
        <w:t>​</w:t>
      </w:r>
    </w:p>
    <w:tbl>
      <w:tblPr>
        <w:tblW w:w="2016" w:type="dxa"/>
        <w:jc w:val="center"/>
        <w:tblInd w:w="0" w:type="dxa"/>
        <w:tblLayout w:type="fixed"/>
        <w:tblCellMar>
          <w:top w:w="0" w:type="dxa"/>
          <w:left w:w="0" w:type="dxa"/>
          <w:bottom w:w="0" w:type="dxa"/>
          <w:right w:w="0" w:type="dxa"/>
        </w:tblCellMar>
      </w:tblPr>
      <w:tblGrid>
        <w:gridCol w:w="1546"/>
        <w:gridCol w:w="316"/>
        <w:gridCol w:w="154"/>
      </w:tblGrid>
      <w:tr>
        <w:trPr/>
        <w:tc>
          <w:tcPr>
            <w:tcW w:w="15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31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Schedule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EXERCISE NOTICE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[To be executed by the Holder to purchase shares of Common Stock under the Warrant]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undersigned is the Holder of Warrant No. CS-1 (the “</w:t>
      </w:r>
      <w:r>
        <w:rPr>
          <w:rFonts w:ascii="Times New Roman;Times;serif" w:hAnsi="Times New Roman;Times;serif"/>
          <w:b/>
          <w:sz w:val="20"/>
        </w:rPr>
        <w:t>Warrant</w:t>
      </w:r>
      <w:r>
        <w:rPr>
          <w:rFonts w:ascii="Times New Roman;Times;serif" w:hAnsi="Times New Roman;Times;serif"/>
          <w:sz w:val="20"/>
        </w:rPr>
        <w:t>”) issued by BioXcel Therapeutics, Inc., a Delaware corporation (the “</w:t>
      </w:r>
      <w:r>
        <w:rPr>
          <w:rFonts w:ascii="Times New Roman;Times;serif" w:hAnsi="Times New Roman;Times;serif"/>
          <w:b/>
          <w:sz w:val="20"/>
        </w:rPr>
        <w:t>Company</w:t>
      </w:r>
      <w:r>
        <w:rPr>
          <w:rFonts w:ascii="Times New Roman;Times;serif" w:hAnsi="Times New Roman;Times;serif"/>
          <w:sz w:val="20"/>
        </w:rPr>
        <w:t>”). Capitalized terms used herein and not otherwise defined herein have the respective meanings set forth in the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The undersigned hereby exercises its right to purchase </w:t>
      </w:r>
      <w:r>
        <w:rPr>
          <w:rFonts w:ascii="Times New Roman;Times;serif" w:hAnsi="Times New Roman;Times;serif"/>
          <w:sz w:val="20"/>
          <w:u w:val="single"/>
        </w:rPr>
        <w:t>                       </w:t>
      </w:r>
      <w:r>
        <w:rPr>
          <w:rFonts w:ascii="Times New Roman;Times;serif" w:hAnsi="Times New Roman;Times;serif"/>
          <w:sz w:val="20"/>
        </w:rPr>
        <w:t xml:space="preserve"> Warrant Shares pursuant to the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Holder intends that payment of the Exercise Price shall be made as (check one):</w:t>
      </w:r>
    </w:p>
    <w:p>
      <w:pPr>
        <w:pStyle w:val="TextBody"/>
        <w:bidi w:val="0"/>
        <w:spacing w:before="0" w:after="240"/>
        <w:ind w:left="720" w:right="0" w:hanging="0"/>
        <w:jc w:val="left"/>
        <w:rPr/>
      </w:pPr>
      <w:r>
        <w:rPr>
          <w:caps w:val="false"/>
          <w:smallCaps w:val="false"/>
        </w:rPr>
        <w:t>☐</w:t>
      </w:r>
      <w:r>
        <w:rPr>
          <w:rFonts w:ascii="Times New Roman;Times;serif" w:hAnsi="Times New Roman;Times;serif"/>
          <w:sz w:val="20"/>
        </w:rPr>
        <w:t>Cash Exercise</w:t>
      </w:r>
    </w:p>
    <w:p>
      <w:pPr>
        <w:pStyle w:val="TextBody"/>
        <w:bidi w:val="0"/>
        <w:spacing w:before="0" w:after="240"/>
        <w:ind w:left="720" w:right="0" w:hanging="0"/>
        <w:jc w:val="left"/>
        <w:rPr/>
      </w:pPr>
      <w:r>
        <w:rPr>
          <w:caps w:val="false"/>
          <w:smallCaps w:val="false"/>
        </w:rPr>
        <w:t>☐</w:t>
      </w:r>
      <w:r>
        <w:rPr/>
        <w:t>“</w:t>
      </w:r>
      <w:r>
        <w:rPr>
          <w:rFonts w:ascii="Times New Roman;Times;serif" w:hAnsi="Times New Roman;Times;serif"/>
          <w:sz w:val="20"/>
        </w:rPr>
        <w:t>Cashless Exercise” under Section 10 of the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Pursuant to this Exercise Notice, the Company shall deliver to the Holder Warrant Shares determined in accordance with the terms of the Warrant. The Warrant Shares shall be delivered to the following DWAC Account Number: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pStyle w:val="TextBody"/>
        <w:bidi w:val="0"/>
        <w:spacing w:before="0" w:after="0"/>
        <w:ind w:left="0" w:right="0" w:hanging="0"/>
        <w:jc w:val="left"/>
        <w:rPr/>
      </w:pPr>
      <w:r>
        <w:rPr/>
        <w:t>​</w:t>
      </w:r>
    </w:p>
    <w:tbl>
      <w:tblPr>
        <w:tblW w:w="1719" w:type="dxa"/>
        <w:jc w:val="center"/>
        <w:tblInd w:w="0" w:type="dxa"/>
        <w:tblLayout w:type="fixed"/>
        <w:tblCellMar>
          <w:top w:w="0" w:type="dxa"/>
          <w:left w:w="0" w:type="dxa"/>
          <w:bottom w:w="0" w:type="dxa"/>
          <w:right w:w="0" w:type="dxa"/>
        </w:tblCellMar>
      </w:tblPr>
      <w:tblGrid>
        <w:gridCol w:w="1456"/>
        <w:gridCol w:w="109"/>
        <w:gridCol w:w="15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924560" cy="175260"/>
                      <wp:effectExtent l="0" t="0" r="0" b="0"/>
                      <wp:wrapNone/>
                      <wp:docPr id="488" name="Frame48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97790" cy="175260"/>
                      <wp:effectExtent l="0" t="0" r="0" b="0"/>
                      <wp:wrapNone/>
                      <wp:docPr id="489" name="Frame48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Holder: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must conform in all respects to name of Holder as specified on the face of the Warrant)</w:t>
      </w:r>
    </w:p>
    <w:p>
      <w:pPr>
        <w:pStyle w:val="TextBody"/>
        <w:bidi w:val="0"/>
        <w:spacing w:before="280" w:after="0"/>
        <w:ind w:left="0" w:right="0" w:hanging="0"/>
        <w:jc w:val="left"/>
        <w:rPr/>
      </w:pPr>
      <w:r>
        <w:rPr/>
        <w:t>​</w:t>
      </w:r>
    </w:p>
    <w:tbl>
      <w:tblPr>
        <w:tblW w:w="2016" w:type="dxa"/>
        <w:jc w:val="center"/>
        <w:tblInd w:w="0" w:type="dxa"/>
        <w:tblLayout w:type="fixed"/>
        <w:tblCellMar>
          <w:top w:w="0" w:type="dxa"/>
          <w:left w:w="0" w:type="dxa"/>
          <w:bottom w:w="0" w:type="dxa"/>
          <w:right w:w="0" w:type="dxa"/>
        </w:tblCellMar>
      </w:tblPr>
      <w:tblGrid>
        <w:gridCol w:w="1546"/>
        <w:gridCol w:w="316"/>
        <w:gridCol w:w="154"/>
      </w:tblGrid>
      <w:tr>
        <w:trPr/>
        <w:tc>
          <w:tcPr>
            <w:tcW w:w="15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154"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No. CS-1</w:t>
            </w:r>
          </w:p>
        </w:tc>
        <w:tc>
          <w:tcPr>
            <w:tcW w:w="31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061" w:name="btai-20251231xex10d226.htm"/>
      <w:bookmarkStart w:id="1062" w:name="ksbtai20251231xex10d226"/>
      <w:bookmarkEnd w:id="1061"/>
      <w:bookmarkEnd w:id="1062"/>
      <w:r>
        <w:rPr>
          <w:rFonts w:ascii="Times New Roman;Times;serif" w:hAnsi="Times New Roman;Times;serif"/>
          <w:b/>
          <w:sz w:val="24"/>
        </w:rPr>
        <w:t>Exhibit 10.22.6</w:t>
      </w:r>
      <w:r>
        <w:br w:type="page"/>
      </w:r>
    </w:p>
    <w:p>
      <w:pPr>
        <w:pStyle w:val="TextBody"/>
        <w:bidi w:val="0"/>
        <w:spacing w:before="0" w:after="0"/>
        <w:ind w:left="0" w:right="0" w:hanging="0"/>
        <w:jc w:val="right"/>
        <w:rPr>
          <w:caps/>
        </w:rPr>
      </w:pPr>
      <w:r>
        <w:rPr>
          <w:caps/>
        </w:rPr>
        <w:t>​</w:t>
      </w:r>
    </w:p>
    <w:p>
      <w:pPr>
        <w:pStyle w:val="TextBody"/>
        <w:bidi w:val="0"/>
        <w:spacing w:before="0" w:after="0"/>
        <w:ind w:left="0" w:right="0" w:hanging="0"/>
        <w:jc w:val="right"/>
        <w:rPr>
          <w:rFonts w:ascii="Times New Roman;Times;serif" w:hAnsi="Times New Roman;Times;serif"/>
          <w:b/>
          <w:i/>
          <w:sz w:val="24"/>
        </w:rPr>
      </w:pPr>
      <w:r>
        <w:rPr>
          <w:rFonts w:ascii="Times New Roman;Times;serif" w:hAnsi="Times New Roman;Times;serif"/>
          <w:b/>
          <w:i/>
          <w:sz w:val="24"/>
        </w:rPr>
        <w:t>Execution Version</w:t>
      </w:r>
    </w:p>
    <w:p>
      <w:pPr>
        <w:pStyle w:val="TextBody"/>
        <w:bidi w:val="0"/>
        <w:spacing w:before="0" w:after="0"/>
        <w:ind w:left="0" w:right="0" w:hanging="0"/>
        <w:jc w:val="center"/>
        <w:rPr>
          <w:caps/>
        </w:rPr>
      </w:pPr>
      <w:r>
        <w:rPr>
          <w:caps/>
        </w:rPr>
        <w: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SIXTH AMENDMENT TO Credit agreement AND guaranty</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This Sixth Amendment to Credit Agreement and Guaranty (this “</w:t>
      </w:r>
      <w:r>
        <w:rPr>
          <w:rFonts w:ascii="Times New Roman;Times;serif" w:hAnsi="Times New Roman;Times;serif"/>
          <w:b/>
          <w:i/>
          <w:sz w:val="24"/>
        </w:rPr>
        <w:t>Amendment</w:t>
      </w:r>
      <w:r>
        <w:rPr>
          <w:rFonts w:ascii="Times New Roman;Times;serif" w:hAnsi="Times New Roman;Times;serif"/>
          <w:sz w:val="20"/>
        </w:rPr>
        <w:t>”</w:t>
      </w:r>
      <w:r>
        <w:rPr>
          <w:rFonts w:ascii="Times New Roman;Times;serif" w:hAnsi="Times New Roman;Times;serif"/>
          <w:sz w:val="24"/>
        </w:rPr>
        <w:t>) is made as of March 4, 2025, by and among BIOXCEL THERAPEUTICS, INC., a Delaware corporation (the “</w:t>
      </w:r>
      <w:r>
        <w:rPr>
          <w:rFonts w:ascii="Times New Roman;Times;serif" w:hAnsi="Times New Roman;Times;serif"/>
          <w:b/>
          <w:i/>
          <w:sz w:val="24"/>
        </w:rPr>
        <w:t>Borrower</w:t>
      </w:r>
      <w:r>
        <w:rPr>
          <w:rFonts w:ascii="Times New Roman;Times;serif" w:hAnsi="Times New Roman;Times;serif"/>
          <w:sz w:val="20"/>
        </w:rPr>
        <w:t>”</w:t>
      </w:r>
      <w:r>
        <w:rPr>
          <w:rFonts w:ascii="Times New Roman;Times;serif" w:hAnsi="Times New Roman;Times;serif"/>
          <w:sz w:val="24"/>
        </w:rPr>
        <w:t>), the lenders party hereto (collectively, the “</w:t>
      </w:r>
      <w:r>
        <w:rPr>
          <w:rFonts w:ascii="Times New Roman;Times;serif" w:hAnsi="Times New Roman;Times;serif"/>
          <w:b/>
          <w:i/>
          <w:sz w:val="24"/>
        </w:rPr>
        <w:t>Lenders</w:t>
      </w:r>
      <w:r>
        <w:rPr>
          <w:rFonts w:ascii="Times New Roman;Times;serif" w:hAnsi="Times New Roman;Times;serif"/>
          <w:sz w:val="20"/>
        </w:rPr>
        <w:t xml:space="preserve">” </w:t>
      </w:r>
      <w:r>
        <w:rPr>
          <w:rFonts w:ascii="Times New Roman;Times;serif" w:hAnsi="Times New Roman;Times;serif"/>
          <w:sz w:val="24"/>
        </w:rPr>
        <w:t>and individually, a “</w:t>
      </w:r>
      <w:r>
        <w:rPr>
          <w:rFonts w:ascii="Times New Roman;Times;serif" w:hAnsi="Times New Roman;Times;serif"/>
          <w:b/>
          <w:i/>
          <w:sz w:val="24"/>
        </w:rPr>
        <w:t>Lender</w:t>
      </w:r>
      <w:r>
        <w:rPr>
          <w:rFonts w:ascii="Times New Roman;Times;serif" w:hAnsi="Times New Roman;Times;serif"/>
          <w:sz w:val="20"/>
        </w:rPr>
        <w:t>”</w:t>
      </w:r>
      <w:r>
        <w:rPr>
          <w:rFonts w:ascii="Times New Roman;Times;serif" w:hAnsi="Times New Roman;Times;serif"/>
          <w:sz w:val="24"/>
        </w:rPr>
        <w:t>), and OAKTREE FUND ADMINISTRATION, LLC, as administrative agent on behalf of the Lenders (in such capacity, together with its successors and assigns, the “</w:t>
      </w:r>
      <w:r>
        <w:rPr>
          <w:rFonts w:ascii="Times New Roman;Times;serif" w:hAnsi="Times New Roman;Times;serif"/>
          <w:b/>
          <w:i/>
          <w:sz w:val="24"/>
        </w:rPr>
        <w:t>Administrative Agent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WHEREAS, the Borrower, the Administrative Agent and the Lenders previously entered into that certain Credit Agreement and Guaranty, dated as of April 19, 2022 (including the exhibits and other attachments thereto, as amended by that certain Waiver and First Amendment to Credit Agreement and Guaranty, dated as of November 13, 2023, that certain Second Amendment to Credit Agreement and Guaranty and Termination of Revenue Interest Financing, dated as of December 5, 2023, that certain Third Amendment to Credit Agreement, dated as of February 12, 2024, that certain Fourth Amendment to Credit Agreement and Guaranty, dated as of March 20, 2024, and the Fifth Amendment to Credit Agreement and Guaranty and First Amendment to Fourth Amendment to Credit Agreement and Guaranty, dated as of November 21, 2024 (the “</w:t>
      </w:r>
      <w:r>
        <w:rPr>
          <w:rFonts w:ascii="Times New Roman;Times;serif" w:hAnsi="Times New Roman;Times;serif"/>
          <w:b/>
          <w:i/>
          <w:sz w:val="24"/>
        </w:rPr>
        <w:t>Existing Credit Agreement</w:t>
      </w:r>
      <w:r>
        <w:rPr>
          <w:rFonts w:ascii="Times New Roman;Times;serif" w:hAnsi="Times New Roman;Times;serif"/>
          <w:sz w:val="20"/>
        </w:rPr>
        <w:t>”</w:t>
      </w:r>
      <w:r>
        <w:rPr>
          <w:rFonts w:ascii="Times New Roman;Times;serif" w:hAnsi="Times New Roman;Times;serif"/>
          <w:sz w:val="24"/>
        </w:rPr>
        <w:t>, and as further amended by this Amendment, the “</w:t>
      </w:r>
      <w:r>
        <w:rPr>
          <w:rFonts w:ascii="Times New Roman;Times;serif" w:hAnsi="Times New Roman;Times;serif"/>
          <w:b/>
          <w:i/>
          <w:sz w:val="24"/>
        </w:rPr>
        <w:t>Credit Agreement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WHEREAS, pursuant to Section 8.22 of the Existing Credit Agreement, Borrower was required to, on or prior to December 6, 2024, select, and on or prior to December 12, 2024, engage, an investment banker reasonably acceptable to the Administrative Agent and the Lenders to assist the Borrower and its Board with evaluating and exploring strategic options (collectively, the “</w:t>
      </w:r>
      <w:r>
        <w:rPr>
          <w:rFonts w:ascii="Times New Roman;Times;serif" w:hAnsi="Times New Roman;Times;serif"/>
          <w:b/>
          <w:i/>
          <w:sz w:val="24"/>
        </w:rPr>
        <w:t>Banker Engagement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by email on December 6, 2024, Borrower, Administrative Agent and the Lenders agreed to modify the foregoing requirement to require Borrower to complete the Banker Engagement on prior to January 24,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WHEREAS, an Event of Default has occurred and is continuing under Section 11.01(d) of the Existing Credit Agreement as a result of Borrower’s failure to satisfy the requirements of Section 8.22 of the Existing Credit Agreement (together with the Event of Default arising from the failure to deliver a notice of Default pursuant to Section 8.02(a) of the Existing Credit Agreement, the “</w:t>
      </w:r>
      <w:r>
        <w:rPr>
          <w:rFonts w:ascii="Times New Roman;Times;serif" w:hAnsi="Times New Roman;Times;serif"/>
          <w:b/>
          <w:i/>
          <w:sz w:val="24"/>
        </w:rPr>
        <w:t>Specified Events of Default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Administrative Agent and the Lenders have agreed to waive the Specified Events of Default on the terms and subject to the conditions set forth herein;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Borrower, the Administrative Agent and the Lenders have agreed to amend the Existing Credit Agreement on the terms and subject to the conditions set forth herein.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for and in consideration of the above premises and other good and valuable consideration, the receipt and sufficiency of which is hereby acknowledged by the parties hereto, each of the Borrower, the Administrative Agent and the Lenders party hereto hereby covenant and agree as follows: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720"/>
        <w:jc w:val="both"/>
        <w:rPr>
          <w:color w:val="010000"/>
        </w:rPr>
      </w:pPr>
      <w:r>
        <w:rPr>
          <w:color w:val="010000"/>
        </w:rPr>
        <w:t>​</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1.</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Definitions</w:t>
            </w:r>
            <w:r>
              <w:rPr>
                <w:rFonts w:ascii="Times New Roman;Times;serif" w:hAnsi="Times New Roman;Times;serif"/>
                <w:sz w:val="24"/>
              </w:rPr>
              <w:t>. Capitalized terms used herein and not otherwise defined herein shall have the meanings assigned to such terms in the Existing Credit Agreement.</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2.</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Waiver</w:t>
            </w:r>
            <w:r>
              <w:rPr>
                <w:rFonts w:ascii="Times New Roman;Times;serif" w:hAnsi="Times New Roman;Times;serif"/>
                <w:sz w:val="24"/>
              </w:rPr>
              <w:t>. Subject to the satisfaction of the condition precedent specified in Section 5 hereof and the condition subsequent specified in Section 6 hereof, the Administrative Agent and the Lenders hereby waive the Specified Events of Default.</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3.</w:t>
            </w:r>
          </w:p>
        </w:tc>
        <w:tc>
          <w:tcPr>
            <w:tcW w:w="100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Amendments to the Existing Credit Agreement</w:t>
            </w:r>
            <w:r>
              <w:rPr>
                <w:rFonts w:ascii="Times New Roman;Times;serif" w:hAnsi="Times New Roman;Times;serif"/>
                <w:sz w:val="24"/>
              </w:rPr>
              <w:t>. Subject to the satisfaction of the condition precedent specified in Section 5 hereof and the condition subsequent specified in Section 6 hereof:</w:t>
            </w:r>
          </w:p>
        </w:tc>
      </w:tr>
    </w:tbl>
    <w:tbl>
      <w:tblPr>
        <w:tblW w:w="8523" w:type="dxa"/>
        <w:jc w:val="left"/>
        <w:tblInd w:w="0" w:type="dxa"/>
        <w:tblLayout w:type="fixed"/>
        <w:tblCellMar>
          <w:top w:w="0" w:type="dxa"/>
          <w:left w:w="0" w:type="dxa"/>
          <w:bottom w:w="0" w:type="dxa"/>
          <w:right w:w="0" w:type="dxa"/>
        </w:tblCellMar>
      </w:tblPr>
      <w:tblGrid>
        <w:gridCol w:w="23"/>
        <w:gridCol w:w="275"/>
        <w:gridCol w:w="822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(a)</w:t>
            </w:r>
          </w:p>
        </w:tc>
        <w:tc>
          <w:tcPr>
            <w:tcW w:w="822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Section 8.22 of the Credit Agreement is amended and restated in its entirety as follows:</w:t>
            </w:r>
          </w:p>
        </w:tc>
      </w:tr>
    </w:tbl>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sz w:val="24"/>
        </w:rPr>
        <w:t>8.22     Investment Bank</w:t>
      </w:r>
      <w:r>
        <w:rPr>
          <w:rFonts w:ascii="Times New Roman;Times;serif" w:hAnsi="Times New Roman;Times;serif"/>
          <w:sz w:val="24"/>
        </w:rPr>
        <w:t>. On or prior to March 15, 2025, the Borrower shall select and engage an investment banker reasonably acceptable to the Administrative Agent and the Lenders to assist the Borrower and its Board with evaluating and exploring strategic options.</w:t>
      </w:r>
    </w:p>
    <w:tbl>
      <w:tblPr>
        <w:tblW w:w="10205" w:type="dxa"/>
        <w:jc w:val="left"/>
        <w:tblInd w:w="0" w:type="dxa"/>
        <w:tblLayout w:type="fixed"/>
        <w:tblCellMar>
          <w:top w:w="0" w:type="dxa"/>
          <w:left w:w="0" w:type="dxa"/>
          <w:bottom w:w="0" w:type="dxa"/>
          <w:right w:w="0" w:type="dxa"/>
        </w:tblCellMar>
      </w:tblPr>
      <w:tblGrid>
        <w:gridCol w:w="23"/>
        <w:gridCol w:w="248"/>
        <w:gridCol w:w="9934"/>
      </w:tblGrid>
      <w:tr>
        <w:trP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(b)</w:t>
            </w:r>
          </w:p>
        </w:tc>
        <w:tc>
          <w:tcPr>
            <w:tcW w:w="993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Section 14.04 of the Existing Credit Agreement is amended by deleting the language, “an instrument in writing signed by the Borrower, the Administrative Agent and the Majority Lenders”, and replacing it as follows:</w:t>
            </w:r>
          </w:p>
        </w:tc>
      </w:tr>
    </w:tbl>
    <w:p>
      <w:pPr>
        <w:pStyle w:val="TextBody"/>
        <w:bidi w:val="0"/>
        <w:spacing w:before="0" w:after="0"/>
        <w:ind w:left="1440" w:right="0" w:hanging="0"/>
        <w:jc w:val="left"/>
        <w:rPr/>
      </w:pPr>
      <w:r>
        <w:rPr/>
        <w:t xml:space="preserve">“ </w:t>
      </w:r>
      <w:r>
        <w:rPr>
          <w:rFonts w:ascii="Times New Roman;Times;serif" w:hAnsi="Times New Roman;Times;serif"/>
          <w:sz w:val="24"/>
        </w:rPr>
        <w:t>agreement of the Borrower, the Administrative Agent and the Majority Lenders, which may be evidenced by an instrument in writing signed by such Persons or by email confirmation from such Persons”.</w:t>
      </w:r>
    </w:p>
    <w:p>
      <w:pPr>
        <w:pStyle w:val="TextBody"/>
        <w:bidi w:val="0"/>
        <w:spacing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4.</w:t>
            </w:r>
          </w:p>
        </w:tc>
        <w:tc>
          <w:tcPr>
            <w:tcW w:w="100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Reaffirmation of Loan Documents</w:t>
            </w:r>
            <w:r>
              <w:rPr>
                <w:rFonts w:ascii="Times New Roman;Times;serif" w:hAnsi="Times New Roman;Times;serif"/>
                <w:sz w:val="24"/>
              </w:rPr>
              <w:t>. Except as otherwise expressly provided herein, the parties hereto agree that all terms and conditions of the Existing Credit Agreement and the other Loan Documents remain in full force and effect.  The Borrower hereby confirms that the Security Documents and all of the Collateral described therein do, and shall continue to, secure the payment in full and performance of all of the Obligations.</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5.</w:t>
            </w:r>
          </w:p>
        </w:tc>
        <w:tc>
          <w:tcPr>
            <w:tcW w:w="100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Conditions Precedent to Effectiveness</w:t>
            </w:r>
            <w:r>
              <w:rPr>
                <w:rFonts w:ascii="Times New Roman;Times;serif" w:hAnsi="Times New Roman;Times;serif"/>
                <w:sz w:val="24"/>
              </w:rPr>
              <w:t>. This Amendment shall be subject to the following conditions precedent:</w:t>
            </w:r>
          </w:p>
        </w:tc>
      </w:tr>
    </w:tbl>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(a)</w:t>
            </w:r>
          </w:p>
        </w:tc>
        <w:tc>
          <w:tcPr>
            <w:tcW w:w="994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Amendment shall have been duly executed and delivered to the Administrative Agent by the Borrower and the Lenders, which constitute all of the Lenders under the Existing Credit Agreement;</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(b)</w:t>
            </w:r>
          </w:p>
        </w:tc>
        <w:tc>
          <w:tcPr>
            <w:tcW w:w="99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After giving effect to the waiver in Section 2 hereof, each of the representations and warranties in Section 7 of this Amendment, Section 7 of the Credit Agreement and in the other Loan Documents shall be true, accurate and complete in all material respects (unless such representations are already qualified by reference to materiality, Material Adverse Effect or similar language, in which case such representations and warranties shall be true and correct in all respects) on and as of the date hereof</w:t>
            </w:r>
            <w:r>
              <w:rPr>
                <w:rFonts w:ascii="Times New Roman;Times;serif" w:hAnsi="Times New Roman;Times;serif"/>
                <w:sz w:val="20"/>
              </w:rPr>
              <w:t xml:space="preserve"> </w:t>
            </w:r>
            <w:r>
              <w:rPr>
                <w:rFonts w:ascii="Times New Roman;Times;serif" w:hAnsi="Times New Roman;Times;serif"/>
                <w:sz w:val="24"/>
              </w:rPr>
              <w:t>with the same effect as though made on and as of such date, except to the extent such representations and warranties expressly relate to an earlier date,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in which case such representations and warranties shall have been true and correct in all respects on and as of such earlier date;</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(c)</w:t>
            </w:r>
          </w:p>
        </w:tc>
        <w:tc>
          <w:tcPr>
            <w:tcW w:w="99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At the time of and after giving effect to this Amendment, other than the Specified Events of Default, no fact or condition exists that constitutes, or with the passage of time, the giving of notice, or both, would</w:t>
            </w:r>
            <w:r>
              <w:rPr>
                <w:rFonts w:ascii="Times New Roman;Times;serif" w:hAnsi="Times New Roman;Times;serif"/>
                <w:sz w:val="20"/>
              </w:rPr>
              <w:t xml:space="preserve"> </w:t>
            </w:r>
            <w:r>
              <w:rPr>
                <w:rFonts w:ascii="Times New Roman;Times;serif" w:hAnsi="Times New Roman;Times;serif"/>
                <w:sz w:val="24"/>
              </w:rPr>
              <w:t>constitute, a Default or</w:t>
            </w:r>
            <w:r>
              <w:rPr>
                <w:rFonts w:ascii="Times New Roman;Times;serif" w:hAnsi="Times New Roman;Times;serif"/>
                <w:sz w:val="20"/>
              </w:rPr>
              <w:t xml:space="preserve"> </w:t>
            </w:r>
            <w:r>
              <w:rPr>
                <w:rFonts w:ascii="Times New Roman;Times;serif" w:hAnsi="Times New Roman;Times;serif"/>
                <w:sz w:val="24"/>
              </w:rPr>
              <w:t>Event of Default; and</w:t>
            </w:r>
          </w:p>
        </w:tc>
      </w:tr>
    </w:tbl>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(d)</w:t>
            </w:r>
          </w:p>
        </w:tc>
        <w:tc>
          <w:tcPr>
            <w:tcW w:w="995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Borrower shall have paid all costs, fees and expenses of the Administrative Agent and the Lenders, including, the fees and expenses of Sullivan &amp; Cromwell LLP, as outside counsel to Administrative Agent and the Oaktree Lenders and the fees and expenses of Allen Overy Shearman Sterling US LLP, as outside counsel to Q Boost Holding LLC, incurred prior to the date hereof, to the extent invoiced on or prior to the date hereof.</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6.</w:t>
            </w:r>
          </w:p>
        </w:tc>
        <w:tc>
          <w:tcPr>
            <w:tcW w:w="100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Condition Subsequent to Effectiveness</w:t>
            </w:r>
            <w:r>
              <w:rPr>
                <w:rFonts w:ascii="Times New Roman;Times;serif" w:hAnsi="Times New Roman;Times;serif"/>
                <w:sz w:val="24"/>
              </w:rPr>
              <w:t>. This Amendment shall be subject to the following condition subsequent:  Prior to 5:00 pm ET on March 15, 2025, the Borrower shall receive at least $6,000,000 in gross cash proceeds from the issuance of the Borrower’s common stock and warrants and/or pre-funded warrants, in each case, for common stock.</w:t>
            </w:r>
          </w:p>
        </w:tc>
      </w:tr>
    </w:tbl>
    <w:tbl>
      <w:tblPr>
        <w:tblW w:w="7720" w:type="dxa"/>
        <w:jc w:val="left"/>
        <w:tblInd w:w="0" w:type="dxa"/>
        <w:tblLayout w:type="fixed"/>
        <w:tblCellMar>
          <w:top w:w="0" w:type="dxa"/>
          <w:left w:w="0" w:type="dxa"/>
          <w:bottom w:w="0" w:type="dxa"/>
          <w:right w:w="0" w:type="dxa"/>
        </w:tblCellMar>
      </w:tblPr>
      <w:tblGrid>
        <w:gridCol w:w="200"/>
        <w:gridCol w:w="7520"/>
      </w:tblGrid>
      <w:tr>
        <w:trPr/>
        <w:tc>
          <w:tcPr>
            <w:tcW w:w="200"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7.</w:t>
            </w:r>
          </w:p>
        </w:tc>
        <w:tc>
          <w:tcPr>
            <w:tcW w:w="75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Representations and Warranties</w:t>
            </w:r>
            <w:r>
              <w:rPr>
                <w:rFonts w:ascii="Times New Roman;Times;serif" w:hAnsi="Times New Roman;Times;serif"/>
                <w:sz w:val="24"/>
              </w:rPr>
              <w:t>. The Borrower hereby represents and warrants:</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(a)</w:t>
            </w:r>
          </w:p>
        </w:tc>
        <w:tc>
          <w:tcPr>
            <w:tcW w:w="99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None of the execution, delivery and performance by the Borrower of this Amendment and the documents, instruments and agreements executed in connection herewith (collectively, the “</w:t>
            </w:r>
            <w:r>
              <w:rPr>
                <w:rFonts w:ascii="Times New Roman;Times;serif" w:hAnsi="Times New Roman;Times;serif"/>
                <w:b/>
                <w:i/>
                <w:sz w:val="24"/>
              </w:rPr>
              <w:t>Amendment Documents</w:t>
            </w:r>
            <w:r>
              <w:rPr>
                <w:rFonts w:ascii="Times New Roman;Times;serif" w:hAnsi="Times New Roman;Times;serif"/>
                <w:sz w:val="20"/>
              </w:rPr>
              <w:t>”</w:t>
            </w:r>
            <w:r>
              <w:rPr>
                <w:rFonts w:ascii="Times New Roman;Times;serif" w:hAnsi="Times New Roman;Times;serif"/>
                <w:sz w:val="24"/>
              </w:rPr>
              <w:t>)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(b)</w:t>
            </w:r>
          </w:p>
        </w:tc>
        <w:tc>
          <w:tcPr>
            <w:tcW w:w="99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Amendment and the other Amendment Documents have been duly authorized by all necessary corporate or other organizational action including, if required, approval by all necessary holders of Equity Interests, and duly executed and delivered by the Borrower and constitutes, and each of the Amendment Documents when executed and delivered by the Borrower will constitute, a legal, valid and binding obligation of the Borrower, enforceable against the Borrower in accordance with its terms, except as such enforceability may be limited by (i) bankruptcy, insolvency, reorganization, moratorium or similar laws of general applicability</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affecting the enforcement of creditors’ rights and (ii) the application of general principles of equity (regardless of whether such enforceability is considered in a proceeding in equity or at law).</w:t>
      </w:r>
    </w:p>
    <w:tbl>
      <w:tblPr>
        <w:tblW w:w="1015" w:type="dxa"/>
        <w:jc w:val="left"/>
        <w:tblInd w:w="0" w:type="dxa"/>
        <w:tblLayout w:type="fixed"/>
        <w:tblCellMar>
          <w:top w:w="0" w:type="dxa"/>
          <w:left w:w="0" w:type="dxa"/>
          <w:bottom w:w="0" w:type="dxa"/>
          <w:right w:w="0" w:type="dxa"/>
        </w:tblCellMar>
      </w:tblPr>
      <w:tblGrid>
        <w:gridCol w:w="200"/>
        <w:gridCol w:w="815"/>
      </w:tblGrid>
      <w:tr>
        <w:trPr/>
        <w:tc>
          <w:tcPr>
            <w:tcW w:w="200"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8.</w:t>
            </w:r>
          </w:p>
        </w:tc>
        <w:tc>
          <w:tcPr>
            <w:tcW w:w="8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Release</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(a)</w:t>
            </w:r>
          </w:p>
        </w:tc>
        <w:tc>
          <w:tcPr>
            <w:tcW w:w="99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In consideration of this Amendment and agreements of the Administrative Agent and the Lenders contained herein and for other good and valuable consideration, the receipt and sufficiency of which is hereby acknowledged, the Borrower (the “</w:t>
            </w:r>
            <w:r>
              <w:rPr>
                <w:rFonts w:ascii="Times New Roman;Times;serif" w:hAnsi="Times New Roman;Times;serif"/>
                <w:b/>
                <w:i/>
                <w:sz w:val="24"/>
              </w:rPr>
              <w:t>Releasing Party</w:t>
            </w:r>
            <w:r>
              <w:rPr>
                <w:rFonts w:ascii="Times New Roman;Times;serif" w:hAnsi="Times New Roman;Times;serif"/>
                <w:sz w:val="20"/>
              </w:rPr>
              <w:t>”</w:t>
            </w:r>
            <w:r>
              <w:rPr>
                <w:rFonts w:ascii="Times New Roman;Times;serif" w:hAnsi="Times New Roman;Times;serif"/>
                <w:sz w:val="24"/>
              </w:rPr>
              <w:t>), on behalf of itself and its successors, assigns and other legal representatives hereby absolutely, unconditionally and irrevocably releases, remises and forever discharges the Administrative Agent and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Party (the Administrative Agent, each Lender and all such other Persons being hereinafter referred to collectively as the “</w:t>
            </w:r>
            <w:r>
              <w:rPr>
                <w:rFonts w:ascii="Times New Roman;Times;serif" w:hAnsi="Times New Roman;Times;serif"/>
                <w:b/>
                <w:i/>
                <w:sz w:val="24"/>
              </w:rPr>
              <w:t>Releasees</w:t>
            </w:r>
            <w:r>
              <w:rPr>
                <w:rFonts w:ascii="Times New Roman;Times;serif" w:hAnsi="Times New Roman;Times;serif"/>
                <w:sz w:val="20"/>
              </w:rPr>
              <w:t xml:space="preserve">” </w:t>
            </w:r>
            <w:r>
              <w:rPr>
                <w:rFonts w:ascii="Times New Roman;Times;serif" w:hAnsi="Times New Roman;Times;serif"/>
                <w:sz w:val="24"/>
              </w:rPr>
              <w:t>and individually as a “</w:t>
            </w:r>
            <w:r>
              <w:rPr>
                <w:rFonts w:ascii="Times New Roman;Times;serif" w:hAnsi="Times New Roman;Times;serif"/>
                <w:b/>
                <w:i/>
                <w:sz w:val="24"/>
              </w:rPr>
              <w:t>Releasee</w:t>
            </w:r>
            <w:r>
              <w:rPr>
                <w:rFonts w:ascii="Times New Roman;Times;serif" w:hAnsi="Times New Roman;Times;serif"/>
                <w:sz w:val="20"/>
              </w:rPr>
              <w:t>”</w:t>
            </w:r>
            <w:r>
              <w:rPr>
                <w:rFonts w:ascii="Times New Roman;Times;serif" w:hAnsi="Times New Roman;Times;serif"/>
                <w:sz w:val="24"/>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rFonts w:ascii="Times New Roman;Times;serif" w:hAnsi="Times New Roman;Times;serif"/>
                <w:b/>
                <w:i/>
                <w:sz w:val="24"/>
              </w:rPr>
              <w:t>Claim</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b/>
                <w:i/>
                <w:sz w:val="24"/>
              </w:rPr>
              <w:t>Claims</w:t>
            </w:r>
            <w:r>
              <w:rPr>
                <w:rFonts w:ascii="Times New Roman;Times;serif" w:hAnsi="Times New Roman;Times;serif"/>
                <w:sz w:val="20"/>
              </w:rPr>
              <w:t>”</w:t>
            </w:r>
            <w:r>
              <w:rPr>
                <w:rFonts w:ascii="Times New Roman;Times;serif" w:hAnsi="Times New Roman;Times;serif"/>
                <w:sz w:val="24"/>
              </w:rPr>
              <w:t>).  The Releasing Party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Section 7.  Furthermore, the Releasing Party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Section 7.  The foregoing release, covenant and waivers of this Section 7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(b)</w:t>
            </w:r>
          </w:p>
        </w:tc>
        <w:tc>
          <w:tcPr>
            <w:tcW w:w="993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Each Releasing Party understands, acknowledges and agrees that its release set forth above may be pleaded as a full and complete defense and may be used as a basis for an injunction against any action, suit or other proceeding which may be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instituted, prosecuted or attempted in breach of the provisions of such release.</w:t>
      </w:r>
    </w:p>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(c)</w:t>
            </w:r>
          </w:p>
        </w:tc>
        <w:tc>
          <w:tcPr>
            <w:tcW w:w="995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Each Releasing Party agrees that no fact, event, circumstance, evidence or transaction which could now be asserted or which may hereafter be discovered shall affect in any manner the final, absolute and unconditional nature of the release set forth above.</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9.</w:t>
            </w:r>
          </w:p>
        </w:tc>
        <w:tc>
          <w:tcPr>
            <w:tcW w:w="1005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Fees and Expenses</w:t>
            </w:r>
            <w:r>
              <w:rPr>
                <w:rFonts w:ascii="Times New Roman;Times;serif" w:hAnsi="Times New Roman;Times;serif"/>
                <w:sz w:val="24"/>
              </w:rPr>
              <w:t>. The Borrower agrees to pay on demand (a) all out-of-pocket fees, costs and expenses of the Administrative Agent and the Lenders accrued prior to the date hereof and (b) all out-of-pocket fees, costs and expenses of the Administrative Agent and the Lenders incurred in connection with the preparation, execution and delivery of (i) this Amendment, (ii) any Amendment Documents, other Loan Documents or other post-closing amendments, agreements, arrangements or documentation, (iii) any other instruments and documents to be delivered hereunder or thereunder, in each case of clauses (a) and (b), including the fees and expenses of Sullivan &amp; Cromwell LLP, as outside counsel to Administrative Agent and the Oaktree Lenders, and Allen Overy Shearman Sterling US LLP, as outside counsel to Q Boost Holding LLC, with respect thereto.</w:t>
            </w:r>
          </w:p>
        </w:tc>
      </w:tr>
    </w:tbl>
    <w:tbl>
      <w:tblPr>
        <w:tblW w:w="1750" w:type="dxa"/>
        <w:jc w:val="left"/>
        <w:tblInd w:w="0" w:type="dxa"/>
        <w:tblLayout w:type="fixed"/>
        <w:tblCellMar>
          <w:top w:w="0" w:type="dxa"/>
          <w:left w:w="0" w:type="dxa"/>
          <w:bottom w:w="0" w:type="dxa"/>
          <w:right w:w="0" w:type="dxa"/>
        </w:tblCellMar>
      </w:tblPr>
      <w:tblGrid>
        <w:gridCol w:w="320"/>
        <w:gridCol w:w="1430"/>
      </w:tblGrid>
      <w:tr>
        <w:trPr/>
        <w:tc>
          <w:tcPr>
            <w:tcW w:w="320"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10.</w:t>
            </w:r>
          </w:p>
        </w:tc>
        <w:tc>
          <w:tcPr>
            <w:tcW w:w="14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Miscellaneous</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(a)</w:t>
            </w:r>
          </w:p>
        </w:tc>
        <w:tc>
          <w:tcPr>
            <w:tcW w:w="9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Except as otherwise expressly provided herein, (i) all provisions of the Credit</w:t>
            </w:r>
            <w:r>
              <w:rPr>
                <w:rFonts w:ascii="Times New Roman;Times;serif" w:hAnsi="Times New Roman;Times;serif"/>
                <w:sz w:val="20"/>
              </w:rPr>
              <w:t xml:space="preserve"> </w:t>
            </w:r>
            <w:r>
              <w:rPr>
                <w:rFonts w:ascii="Times New Roman;Times;serif" w:hAnsi="Times New Roman;Times;serif"/>
                <w:sz w:val="24"/>
              </w:rPr>
              <w:t>Agreement and the other Loan Documents remain in full force and effect and (ii) the execution, delivery and effectiveness of this Amendment shall not operate as a waiver of any right, power or remedy of the Administrative Agent or the Lenders, nor constitute a waiver of any provision of the Existing Credit Agreement or any of the Loan Documents.  None of the Administrative Agent or any Lender is under any obligation to enter into this Amendment.  The entering into of this Amendment by such parties shall not be deemed to limit or hinder any rights of any such party under the Loan Documents, nor shall it be deemed to create or infer a course of dealing between any such party, on the one hand, and the Borrower, on the other hand, with regard to any provision of the Loan Documents.</w:t>
            </w:r>
            <w:r>
              <w:rPr>
                <w:rFonts w:ascii="Times New Roman;Times;serif" w:hAnsi="Times New Roman;Times;serif"/>
                <w:sz w:val="20"/>
              </w:rPr>
              <w:t xml:space="preserve">  </w:t>
            </w:r>
            <w:r>
              <w:rPr>
                <w:rFonts w:ascii="Times New Roman;Times;serif" w:hAnsi="Times New Roman;Times;serif"/>
                <w:sz w:val="24"/>
              </w:rPr>
              <w:t>This Amendment shall constitute a Loan Document.</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(b)</w:t>
            </w:r>
          </w:p>
        </w:tc>
        <w:tc>
          <w:tcPr>
            <w:tcW w:w="994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(c)</w:t>
            </w:r>
          </w:p>
        </w:tc>
        <w:tc>
          <w:tcPr>
            <w:tcW w:w="994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Amendment expresses the entire understanding of the parties with respect to the amendments contemplated hereby.  No prior negotiations or discussions shall limit, modify, or otherwise affect the provisions hereof.</w:t>
            </w:r>
          </w:p>
        </w:tc>
      </w:tr>
    </w:tbl>
    <w:tbl>
      <w:tblPr>
        <w:tblW w:w="10205" w:type="dxa"/>
        <w:jc w:val="left"/>
        <w:tblInd w:w="0" w:type="dxa"/>
        <w:tblLayout w:type="fixed"/>
        <w:tblCellMar>
          <w:top w:w="0" w:type="dxa"/>
          <w:left w:w="0" w:type="dxa"/>
          <w:bottom w:w="0" w:type="dxa"/>
          <w:right w:w="0" w:type="dxa"/>
        </w:tblCellMar>
      </w:tblPr>
      <w:tblGrid>
        <w:gridCol w:w="23"/>
        <w:gridCol w:w="249"/>
        <w:gridCol w:w="9933"/>
      </w:tblGrid>
      <w:tr>
        <w:trPr/>
        <w:tc>
          <w:tcPr>
            <w:tcW w:w="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40"/>
              <w:jc w:val="both"/>
              <w:rPr>
                <w:rFonts w:ascii="Times New Roman;Times;serif" w:hAnsi="Times New Roman;Times;serif"/>
                <w:color w:val="010000"/>
                <w:sz w:val="24"/>
              </w:rPr>
            </w:pPr>
            <w:r>
              <w:rPr>
                <w:rFonts w:ascii="Times New Roman;Times;serif" w:hAnsi="Times New Roman;Times;serif"/>
                <w:color w:val="010000"/>
                <w:sz w:val="24"/>
              </w:rPr>
              <w:t>(d)</w:t>
            </w:r>
          </w:p>
        </w:tc>
        <w:tc>
          <w:tcPr>
            <w:tcW w:w="993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Amendment and its contents shall be subject to the governing law, indemnification, venue, service of process, waivers of jury trial and severability provisions of the Existing Credit Agreement, mutatis mutandis.</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IN WITNESS WHEREOF, the parties hereto have caused this Amendment to be duly executed and delivered as of the day and year first above written.</w:t>
      </w:r>
    </w:p>
    <w:p>
      <w:pPr>
        <w:pStyle w:val="TextBody"/>
        <w:bidi w:val="0"/>
        <w:spacing w:before="0" w:after="1"/>
        <w:ind w:left="0" w:right="0" w:hanging="0"/>
        <w:jc w:val="left"/>
        <w:rPr/>
      </w:pPr>
      <w:r>
        <w:rPr/>
        <w:t>​</w:t>
      </w:r>
    </w:p>
    <w:tbl>
      <w:tblPr>
        <w:tblW w:w="4969" w:type="dxa"/>
        <w:jc w:val="left"/>
        <w:tblInd w:w="0" w:type="dxa"/>
        <w:tblLayout w:type="fixed"/>
        <w:tblCellMar>
          <w:top w:w="0" w:type="dxa"/>
          <w:left w:w="0" w:type="dxa"/>
          <w:bottom w:w="0" w:type="dxa"/>
          <w:right w:w="0" w:type="dxa"/>
        </w:tblCellMar>
      </w:tblPr>
      <w:tblGrid>
        <w:gridCol w:w="124"/>
        <w:gridCol w:w="1130"/>
        <w:gridCol w:w="3715"/>
      </w:tblGrid>
      <w:tr>
        <w:trPr/>
        <w:tc>
          <w:tcPr>
            <w:tcW w:w="124"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left"/>
              <w:rPr/>
            </w:pPr>
            <w:r>
              <w:rPr/>
              <w:t>​</w:t>
            </w:r>
          </w:p>
        </w:tc>
        <w:tc>
          <w:tcPr>
            <w:tcW w:w="371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color w:val="2A302C"/>
                <w:sz w:val="24"/>
              </w:rPr>
            </w:pPr>
            <w:r>
              <w:rPr>
                <w:rFonts w:ascii="Times New Roman;Times;serif" w:hAnsi="Times New Roman;Times;serif"/>
                <w:b/>
                <w:color w:val="2A302C"/>
                <w:sz w:val="24"/>
              </w:rPr>
              <w:t>BORROWER:</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b/>
                <w:color w:val="2A302C"/>
                <w:sz w:val="24"/>
              </w:rPr>
            </w:pPr>
            <w:r>
              <w:rPr>
                <w:rFonts w:ascii="Times New Roman;Times;serif" w:hAnsi="Times New Roman;Times;serif"/>
                <w:b/>
                <w:color w:val="2A302C"/>
                <w:sz w:val="24"/>
              </w:rPr>
              <w:t>BIOXCEL THERAPEUTICS, INC.</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3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37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Vimal Mehta</w:t>
            </w:r>
          </w:p>
        </w:tc>
      </w:tr>
      <w:tr>
        <w:trPr/>
        <w:tc>
          <w:tcPr>
            <w:tcW w:w="124" w:type="dxa"/>
            <w:tcBorders/>
            <w:vAlign w:val="center"/>
          </w:tcPr>
          <w:p>
            <w:pPr>
              <w:pStyle w:val="TableContents"/>
              <w:bidi w:val="0"/>
              <w:spacing w:before="0" w:after="1"/>
              <w:ind w:left="0" w:right="0" w:hanging="0"/>
              <w:jc w:val="left"/>
              <w:rPr/>
            </w:pPr>
            <w:r>
              <w:rPr/>
              <w:t>​</w:t>
            </w:r>
          </w:p>
        </w:tc>
        <w:tc>
          <w:tcPr>
            <w:tcW w:w="113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3715"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Vimal Mehta</w:t>
            </w:r>
          </w:p>
        </w:tc>
      </w:tr>
      <w:tr>
        <w:trPr/>
        <w:tc>
          <w:tcPr>
            <w:tcW w:w="124" w:type="dxa"/>
            <w:tcBorders/>
            <w:vAlign w:val="center"/>
          </w:tcPr>
          <w:p>
            <w:pPr>
              <w:pStyle w:val="TableContents"/>
              <w:bidi w:val="0"/>
              <w:spacing w:before="0" w:after="1"/>
              <w:ind w:left="0" w:right="0" w:hanging="0"/>
              <w:jc w:val="left"/>
              <w:rPr/>
            </w:pPr>
            <w:r>
              <w:rPr/>
              <w:t>​</w:t>
            </w:r>
          </w:p>
        </w:tc>
        <w:tc>
          <w:tcPr>
            <w:tcW w:w="113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37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Chief Executive Officer</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555 Long Wharf Drive, 12th Floor</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Haven, CT</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06511</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 (which shall not constitute notice):</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Cooley LLP</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3 Embarcadero Center </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20th Floor</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San Francisco, CA 94111-4004</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Mischi a Marca</w:t>
            </w:r>
          </w:p>
        </w:tc>
      </w:tr>
      <w:tr>
        <w:trPr/>
        <w:tc>
          <w:tcPr>
            <w:tcW w:w="124" w:type="dxa"/>
            <w:tcBorders/>
            <w:vAlign w:val="center"/>
          </w:tcPr>
          <w:p>
            <w:pPr>
              <w:pStyle w:val="TableContents"/>
              <w:bidi w:val="0"/>
              <w:spacing w:before="0" w:after="1"/>
              <w:ind w:left="0" w:right="0" w:hanging="0"/>
              <w:jc w:val="left"/>
              <w:rPr/>
            </w:pPr>
            <w:r>
              <w:rPr/>
              <w:t>​</w:t>
            </w:r>
          </w:p>
        </w:tc>
        <w:tc>
          <w:tcPr>
            <w:tcW w:w="484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gmamarca@cooley.com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49" w:type="dxa"/>
        <w:jc w:val="left"/>
        <w:tblInd w:w="0" w:type="dxa"/>
        <w:tblLayout w:type="fixed"/>
        <w:tblCellMar>
          <w:top w:w="0" w:type="dxa"/>
          <w:left w:w="0" w:type="dxa"/>
          <w:bottom w:w="0" w:type="dxa"/>
          <w:right w:w="0" w:type="dxa"/>
        </w:tblCellMar>
      </w:tblPr>
      <w:tblGrid>
        <w:gridCol w:w="124"/>
        <w:gridCol w:w="883"/>
        <w:gridCol w:w="4142"/>
      </w:tblGrid>
      <w:tr>
        <w:trPr/>
        <w:tc>
          <w:tcPr>
            <w:tcW w:w="124"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left"/>
              <w:rPr/>
            </w:pPr>
            <w:r>
              <w:rPr/>
              <w:t>​</w:t>
            </w:r>
          </w:p>
        </w:tc>
        <w:tc>
          <w:tcPr>
            <w:tcW w:w="41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ADMINISTRATIVE AGENT: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 FUND ADMINISTRATION, LLC</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14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14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pPr>
            <w:r>
              <w:rPr/>
              <w:t>​</w:t>
            </w:r>
          </w:p>
        </w:tc>
        <w:tc>
          <w:tcPr>
            <w:tcW w:w="4142"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1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142"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14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pPr>
            <w:r>
              <w:rPr/>
              <w:t>​</w:t>
            </w:r>
          </w:p>
        </w:tc>
        <w:tc>
          <w:tcPr>
            <w:tcW w:w="4142"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1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142"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14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333 </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333 </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125 </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Broad Street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02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54" w:type="dxa"/>
        <w:jc w:val="left"/>
        <w:tblInd w:w="0" w:type="dxa"/>
        <w:tblLayout w:type="fixed"/>
        <w:tblCellMar>
          <w:top w:w="0" w:type="dxa"/>
          <w:left w:w="0" w:type="dxa"/>
          <w:bottom w:w="0" w:type="dxa"/>
          <w:right w:w="0" w:type="dxa"/>
        </w:tblCellMar>
      </w:tblPr>
      <w:tblGrid>
        <w:gridCol w:w="124"/>
        <w:gridCol w:w="954"/>
        <w:gridCol w:w="4476"/>
      </w:tblGrid>
      <w:tr>
        <w:trPr/>
        <w:tc>
          <w:tcPr>
            <w:tcW w:w="124"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left"/>
              <w:rPr/>
            </w:pPr>
            <w:r>
              <w:rPr/>
              <w:t>​</w:t>
            </w:r>
          </w:p>
        </w:tc>
        <w:tc>
          <w:tcPr>
            <w:tcW w:w="4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LENDERS:</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OAKTREE-TCDRS STRATEGIC CREDIT, LLC</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4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pPr>
            <w:r>
              <w:rPr/>
              <w:t>​</w:t>
            </w:r>
          </w:p>
        </w:tc>
        <w:tc>
          <w:tcPr>
            <w:tcW w:w="4476"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476"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4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pPr>
            <w:r>
              <w:rPr/>
              <w:t>​</w:t>
            </w:r>
          </w:p>
        </w:tc>
        <w:tc>
          <w:tcPr>
            <w:tcW w:w="4476"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476"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95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4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659" w:type="dxa"/>
        <w:jc w:val="left"/>
        <w:tblInd w:w="0" w:type="dxa"/>
        <w:tblLayout w:type="fixed"/>
        <w:tblCellMar>
          <w:top w:w="0" w:type="dxa"/>
          <w:left w:w="0" w:type="dxa"/>
          <w:bottom w:w="0" w:type="dxa"/>
          <w:right w:w="0" w:type="dxa"/>
        </w:tblCellMar>
      </w:tblPr>
      <w:tblGrid>
        <w:gridCol w:w="124"/>
        <w:gridCol w:w="973"/>
        <w:gridCol w:w="4562"/>
      </w:tblGrid>
      <w:tr>
        <w:trPr/>
        <w:tc>
          <w:tcPr>
            <w:tcW w:w="124"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left"/>
              <w:rPr/>
            </w:pPr>
            <w:r>
              <w:rPr/>
              <w:t>​</w:t>
            </w:r>
          </w:p>
        </w:tc>
        <w:tc>
          <w:tcPr>
            <w:tcW w:w="456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OAKTREE-FORREST MULTI-STRATEGY, LLC</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56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56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pPr>
            <w:r>
              <w:rPr/>
              <w:t>​</w:t>
            </w:r>
          </w:p>
        </w:tc>
        <w:tc>
          <w:tcPr>
            <w:tcW w:w="4562"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5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562"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56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pPr>
            <w:r>
              <w:rPr/>
              <w:t>​</w:t>
            </w:r>
          </w:p>
        </w:tc>
        <w:tc>
          <w:tcPr>
            <w:tcW w:w="4562"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5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562"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56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5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439" w:type="dxa"/>
        <w:jc w:val="left"/>
        <w:tblInd w:w="0" w:type="dxa"/>
        <w:tblLayout w:type="fixed"/>
        <w:tblCellMar>
          <w:top w:w="0" w:type="dxa"/>
          <w:left w:w="0" w:type="dxa"/>
          <w:bottom w:w="0" w:type="dxa"/>
          <w:right w:w="0" w:type="dxa"/>
        </w:tblCellMar>
      </w:tblPr>
      <w:tblGrid>
        <w:gridCol w:w="124"/>
        <w:gridCol w:w="1110"/>
        <w:gridCol w:w="5205"/>
      </w:tblGrid>
      <w:tr>
        <w:trPr/>
        <w:tc>
          <w:tcPr>
            <w:tcW w:w="124"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c>
          <w:tcPr>
            <w:tcW w:w="520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OAKTREE-TBMR STRATEGIC CREDIT FUND C, LLC</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20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520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c>
          <w:tcPr>
            <w:tcW w:w="5205"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20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5205"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520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c>
          <w:tcPr>
            <w:tcW w:w="5205"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20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5205"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520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409" w:type="dxa"/>
        <w:jc w:val="left"/>
        <w:tblInd w:w="0" w:type="dxa"/>
        <w:tblLayout w:type="fixed"/>
        <w:tblCellMar>
          <w:top w:w="0" w:type="dxa"/>
          <w:left w:w="0" w:type="dxa"/>
          <w:bottom w:w="0" w:type="dxa"/>
          <w:right w:w="0" w:type="dxa"/>
        </w:tblCellMar>
      </w:tblPr>
      <w:tblGrid>
        <w:gridCol w:w="124"/>
        <w:gridCol w:w="1104"/>
        <w:gridCol w:w="5181"/>
      </w:tblGrid>
      <w:tr>
        <w:trPr/>
        <w:tc>
          <w:tcPr>
            <w:tcW w:w="124"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51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OAKTREE-TBMR STRATEGIC CREDIT FUND F, LLC</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18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518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pPr>
            <w:r>
              <w:rPr/>
              <w:t>​</w:t>
            </w:r>
          </w:p>
        </w:tc>
        <w:tc>
          <w:tcPr>
            <w:tcW w:w="5181"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5181"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518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pPr>
            <w:r>
              <w:rPr/>
              <w:t>​</w:t>
            </w:r>
          </w:p>
        </w:tc>
        <w:tc>
          <w:tcPr>
            <w:tcW w:w="5181"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5181"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518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62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439" w:type="dxa"/>
        <w:jc w:val="left"/>
        <w:tblInd w:w="0" w:type="dxa"/>
        <w:tblLayout w:type="fixed"/>
        <w:tblCellMar>
          <w:top w:w="0" w:type="dxa"/>
          <w:left w:w="0" w:type="dxa"/>
          <w:bottom w:w="0" w:type="dxa"/>
          <w:right w:w="0" w:type="dxa"/>
        </w:tblCellMar>
      </w:tblPr>
      <w:tblGrid>
        <w:gridCol w:w="124"/>
        <w:gridCol w:w="1110"/>
        <w:gridCol w:w="5205"/>
      </w:tblGrid>
      <w:tr>
        <w:trPr/>
        <w:tc>
          <w:tcPr>
            <w:tcW w:w="124"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c>
          <w:tcPr>
            <w:tcW w:w="520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OAKTREE-TBMR STRATEGIC CREDIT FUND G, LLC</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20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520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c>
          <w:tcPr>
            <w:tcW w:w="5205"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20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5205"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520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c>
          <w:tcPr>
            <w:tcW w:w="5205"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20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5205"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520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631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79" w:type="dxa"/>
        <w:jc w:val="left"/>
        <w:tblInd w:w="0" w:type="dxa"/>
        <w:tblLayout w:type="fixed"/>
        <w:tblCellMar>
          <w:top w:w="0" w:type="dxa"/>
          <w:left w:w="0" w:type="dxa"/>
          <w:bottom w:w="0" w:type="dxa"/>
          <w:right w:w="0" w:type="dxa"/>
        </w:tblCellMar>
      </w:tblPr>
      <w:tblGrid>
        <w:gridCol w:w="124"/>
        <w:gridCol w:w="941"/>
        <w:gridCol w:w="4414"/>
      </w:tblGrid>
      <w:tr>
        <w:trPr/>
        <w:tc>
          <w:tcPr>
            <w:tcW w:w="124"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left"/>
              <w:rPr/>
            </w:pPr>
            <w:r>
              <w:rPr/>
              <w:t>​</w:t>
            </w:r>
          </w:p>
        </w:tc>
        <w:tc>
          <w:tcPr>
            <w:tcW w:w="441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OAKTREE-TSE 16 STRATEGIC CREDIT, LLC</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4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pPr>
            <w:r>
              <w:rPr/>
              <w:t>​</w:t>
            </w:r>
          </w:p>
        </w:tc>
        <w:tc>
          <w:tcPr>
            <w:tcW w:w="4414"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1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414"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4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pPr>
            <w:r>
              <w:rPr/>
              <w:t>​</w:t>
            </w:r>
          </w:p>
        </w:tc>
        <w:tc>
          <w:tcPr>
            <w:tcW w:w="4414"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1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414"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4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35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09" w:type="dxa"/>
        <w:jc w:val="left"/>
        <w:tblInd w:w="0" w:type="dxa"/>
        <w:tblLayout w:type="fixed"/>
        <w:tblCellMar>
          <w:top w:w="0" w:type="dxa"/>
          <w:left w:w="0" w:type="dxa"/>
          <w:bottom w:w="0" w:type="dxa"/>
          <w:right w:w="0" w:type="dxa"/>
        </w:tblCellMar>
      </w:tblPr>
      <w:tblGrid>
        <w:gridCol w:w="124"/>
        <w:gridCol w:w="946"/>
        <w:gridCol w:w="4439"/>
      </w:tblGrid>
      <w:tr>
        <w:trPr/>
        <w:tc>
          <w:tcPr>
            <w:tcW w:w="12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443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INPRS STRATEGIC CREDIT HOLDINGS, LLC</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3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43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4439"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3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439"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43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4439"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43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439"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43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38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064" w:type="dxa"/>
        <w:jc w:val="left"/>
        <w:tblInd w:w="0" w:type="dxa"/>
        <w:tblLayout w:type="fixed"/>
        <w:tblCellMar>
          <w:top w:w="0" w:type="dxa"/>
          <w:left w:w="0" w:type="dxa"/>
          <w:bottom w:w="0" w:type="dxa"/>
          <w:right w:w="0" w:type="dxa"/>
        </w:tblCellMar>
      </w:tblPr>
      <w:tblGrid>
        <w:gridCol w:w="124"/>
        <w:gridCol w:w="1184"/>
        <w:gridCol w:w="4756"/>
      </w:tblGrid>
      <w:tr>
        <w:trPr/>
        <w:tc>
          <w:tcPr>
            <w:tcW w:w="124"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 SPECIALTY LENDING CORPORATION</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75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Fund Advisors, LLC</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75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Investment Adviser</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pPr>
            <w:r>
              <w:rPr/>
              <w:t>​</w:t>
            </w:r>
          </w:p>
        </w:tc>
        <w:tc>
          <w:tcPr>
            <w:tcW w:w="4756"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7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756"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75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pPr>
            <w:r>
              <w:rPr/>
              <w:t>​</w:t>
            </w:r>
          </w:p>
        </w:tc>
        <w:tc>
          <w:tcPr>
            <w:tcW w:w="4756"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7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756"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75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94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759" w:type="dxa"/>
        <w:jc w:val="left"/>
        <w:tblInd w:w="0" w:type="dxa"/>
        <w:tblLayout w:type="fixed"/>
        <w:tblCellMar>
          <w:top w:w="0" w:type="dxa"/>
          <w:left w:w="0" w:type="dxa"/>
          <w:bottom w:w="0" w:type="dxa"/>
          <w:right w:w="0" w:type="dxa"/>
        </w:tblCellMar>
      </w:tblPr>
      <w:tblGrid>
        <w:gridCol w:w="124"/>
        <w:gridCol w:w="924"/>
        <w:gridCol w:w="3711"/>
      </w:tblGrid>
      <w:tr>
        <w:trPr/>
        <w:tc>
          <w:tcPr>
            <w:tcW w:w="124"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7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 STRATEGIC CREDIT FUND</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371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Fund Advisors, LLC</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371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Investment Adviser</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pPr>
            <w:r>
              <w:rPr/>
              <w:t>​</w:t>
            </w:r>
          </w:p>
        </w:tc>
        <w:tc>
          <w:tcPr>
            <w:tcW w:w="3711"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37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3711"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371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pPr>
            <w:r>
              <w:rPr/>
              <w:t>​</w:t>
            </w:r>
          </w:p>
        </w:tc>
        <w:tc>
          <w:tcPr>
            <w:tcW w:w="3711"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37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3711"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371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463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229" w:type="dxa"/>
        <w:jc w:val="left"/>
        <w:tblInd w:w="0" w:type="dxa"/>
        <w:tblLayout w:type="fixed"/>
        <w:tblCellMar>
          <w:top w:w="0" w:type="dxa"/>
          <w:left w:w="0" w:type="dxa"/>
          <w:bottom w:w="0" w:type="dxa"/>
          <w:right w:w="0" w:type="dxa"/>
        </w:tblCellMar>
      </w:tblPr>
      <w:tblGrid>
        <w:gridCol w:w="124"/>
        <w:gridCol w:w="915"/>
        <w:gridCol w:w="5190"/>
      </w:tblGrid>
      <w:tr>
        <w:trPr/>
        <w:tc>
          <w:tcPr>
            <w:tcW w:w="124"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519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 GCP FUND DELAWARE HOLDINGS, L.P.</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c>
          <w:tcPr>
            <w:tcW w:w="5190"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19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Global Credit Plus Fund GP, L.P.</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519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c>
          <w:tcPr>
            <w:tcW w:w="5190"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19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Global Credit Plus Fund GP Ltd.</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519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1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519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Director</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c>
          <w:tcPr>
            <w:tcW w:w="5190"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19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5190"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519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pPr>
            <w:r>
              <w:rPr/>
              <w:t>​</w:t>
            </w:r>
          </w:p>
        </w:tc>
        <w:tc>
          <w:tcPr>
            <w:tcW w:w="5190"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519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5190"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519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Los Angeles, CA 90071 </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61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54" w:type="dxa"/>
        <w:jc w:val="left"/>
        <w:tblInd w:w="0" w:type="dxa"/>
        <w:tblLayout w:type="fixed"/>
        <w:tblCellMar>
          <w:top w:w="0" w:type="dxa"/>
          <w:left w:w="0" w:type="dxa"/>
          <w:bottom w:w="0" w:type="dxa"/>
          <w:right w:w="0" w:type="dxa"/>
        </w:tblCellMar>
      </w:tblPr>
      <w:tblGrid>
        <w:gridCol w:w="124"/>
        <w:gridCol w:w="1082"/>
        <w:gridCol w:w="4348"/>
      </w:tblGrid>
      <w:tr>
        <w:trPr/>
        <w:tc>
          <w:tcPr>
            <w:tcW w:w="124"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left"/>
              <w:rPr/>
            </w:pPr>
            <w:r>
              <w:rPr/>
              <w:t>​</w:t>
            </w:r>
          </w:p>
        </w:tc>
        <w:tc>
          <w:tcPr>
            <w:tcW w:w="434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 DIVERSIFIED INCOME FUND INC.</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pPr>
            <w:r>
              <w:rPr/>
              <w:t>​</w:t>
            </w:r>
          </w:p>
        </w:tc>
        <w:tc>
          <w:tcPr>
            <w:tcW w:w="4348"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348"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Fund Advisors, LLC</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348"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Investment Adviser</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pPr>
            <w:r>
              <w:rPr/>
              <w:t>​</w:t>
            </w:r>
          </w:p>
        </w:tc>
        <w:tc>
          <w:tcPr>
            <w:tcW w:w="4348"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3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348"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348"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pPr>
            <w:r>
              <w:rPr/>
              <w:t>​</w:t>
            </w:r>
          </w:p>
        </w:tc>
        <w:tc>
          <w:tcPr>
            <w:tcW w:w="4348"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3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348"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348"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430"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899" w:type="dxa"/>
        <w:jc w:val="left"/>
        <w:tblInd w:w="0" w:type="dxa"/>
        <w:tblLayout w:type="fixed"/>
        <w:tblCellMar>
          <w:top w:w="0" w:type="dxa"/>
          <w:left w:w="0" w:type="dxa"/>
          <w:bottom w:w="0" w:type="dxa"/>
          <w:right w:w="0" w:type="dxa"/>
        </w:tblCellMar>
      </w:tblPr>
      <w:tblGrid>
        <w:gridCol w:w="124"/>
        <w:gridCol w:w="814"/>
        <w:gridCol w:w="4961"/>
      </w:tblGrid>
      <w:tr>
        <w:trPr/>
        <w:tc>
          <w:tcPr>
            <w:tcW w:w="124"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c>
          <w:tcPr>
            <w:tcW w:w="49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 AZ STRATEGIC LENDING FUND, L.P.</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c>
          <w:tcPr>
            <w:tcW w:w="4961"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96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AZ Strategic Lending Fund GP, L.P.</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96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c>
          <w:tcPr>
            <w:tcW w:w="4961"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96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Fund GP IIA, LLC</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96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9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Oaktree Fund GP II, L.P.</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496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c>
          <w:tcPr>
            <w:tcW w:w="4961"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9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961"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96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Authorized Signatory</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c>
          <w:tcPr>
            <w:tcW w:w="4961"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9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961"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961"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Authorized Signatory</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77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019" w:type="dxa"/>
        <w:jc w:val="left"/>
        <w:tblInd w:w="0" w:type="dxa"/>
        <w:tblLayout w:type="fixed"/>
        <w:tblCellMar>
          <w:top w:w="0" w:type="dxa"/>
          <w:left w:w="0" w:type="dxa"/>
          <w:bottom w:w="0" w:type="dxa"/>
          <w:right w:w="0" w:type="dxa"/>
        </w:tblCellMar>
      </w:tblPr>
      <w:tblGrid>
        <w:gridCol w:w="124"/>
        <w:gridCol w:w="1579"/>
        <w:gridCol w:w="4316"/>
      </w:tblGrid>
      <w:tr>
        <w:trPr/>
        <w:tc>
          <w:tcPr>
            <w:tcW w:w="124" w:type="dxa"/>
            <w:tcBorders/>
            <w:vAlign w:val="center"/>
          </w:tcPr>
          <w:p>
            <w:pPr>
              <w:pStyle w:val="TableContents"/>
              <w:bidi w:val="0"/>
              <w:spacing w:before="0" w:after="0"/>
              <w:ind w:left="0" w:right="0" w:hanging="0"/>
              <w:jc w:val="left"/>
              <w:rPr/>
            </w:pPr>
            <w:r>
              <w:rPr/>
              <w:t>​</w:t>
            </w:r>
          </w:p>
        </w:tc>
        <w:tc>
          <w:tcPr>
            <w:tcW w:w="1579" w:type="dxa"/>
            <w:tcBorders/>
            <w:vAlign w:val="center"/>
          </w:tcPr>
          <w:p>
            <w:pPr>
              <w:pStyle w:val="TableContents"/>
              <w:bidi w:val="0"/>
              <w:spacing w:before="0" w:after="0"/>
              <w:ind w:left="0" w:right="0" w:hanging="0"/>
              <w:jc w:val="left"/>
              <w:rPr/>
            </w:pPr>
            <w:r>
              <w:rPr/>
              <w:t>​</w:t>
            </w:r>
          </w:p>
        </w:tc>
        <w:tc>
          <w:tcPr>
            <w:tcW w:w="43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b/>
                <w:caps/>
                <w:sz w:val="24"/>
              </w:rPr>
            </w:pPr>
            <w:r>
              <w:rPr>
                <w:rFonts w:ascii="Times New Roman;Times;serif" w:hAnsi="Times New Roman;Times;serif"/>
                <w:b/>
                <w:caps/>
                <w:sz w:val="24"/>
              </w:rPr>
              <w:t>Oaktree LSL Fund Holdings EURRC S.à r.l.</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26A, boulevard Royal L-2449</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Luxembourg, Grand Duchy of Luxembourg</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R.C.S Luxembourg Number: B269245</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57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Martin Eckel</w:t>
            </w:r>
          </w:p>
        </w:tc>
      </w:tr>
      <w:tr>
        <w:trPr/>
        <w:tc>
          <w:tcPr>
            <w:tcW w:w="124" w:type="dxa"/>
            <w:tcBorders/>
            <w:vAlign w:val="center"/>
          </w:tcPr>
          <w:p>
            <w:pPr>
              <w:pStyle w:val="TableContents"/>
              <w:bidi w:val="0"/>
              <w:spacing w:before="0" w:after="1"/>
              <w:ind w:left="0" w:right="0" w:hanging="0"/>
              <w:jc w:val="left"/>
              <w:rPr/>
            </w:pPr>
            <w:r>
              <w:rPr/>
              <w:t>​</w:t>
            </w:r>
          </w:p>
        </w:tc>
        <w:tc>
          <w:tcPr>
            <w:tcW w:w="157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316"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Martin Eckel</w:t>
            </w:r>
          </w:p>
        </w:tc>
      </w:tr>
      <w:tr>
        <w:trPr/>
        <w:tc>
          <w:tcPr>
            <w:tcW w:w="124" w:type="dxa"/>
            <w:tcBorders/>
            <w:vAlign w:val="center"/>
          </w:tcPr>
          <w:p>
            <w:pPr>
              <w:pStyle w:val="TableContents"/>
              <w:bidi w:val="0"/>
              <w:spacing w:before="0" w:after="1"/>
              <w:ind w:left="0" w:right="0" w:hanging="0"/>
              <w:jc w:val="left"/>
              <w:rPr/>
            </w:pPr>
            <w:r>
              <w:rPr/>
              <w:t>​</w:t>
            </w:r>
          </w:p>
        </w:tc>
        <w:tc>
          <w:tcPr>
            <w:tcW w:w="157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31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1579" w:type="dxa"/>
            <w:tcBorders/>
            <w:vAlign w:val="center"/>
          </w:tcPr>
          <w:p>
            <w:pPr>
              <w:pStyle w:val="TableContents"/>
              <w:bidi w:val="0"/>
              <w:spacing w:before="0" w:after="1"/>
              <w:ind w:left="0" w:right="0" w:hanging="0"/>
              <w:jc w:val="left"/>
              <w:rPr/>
            </w:pPr>
            <w:r>
              <w:rPr/>
              <w:t>​</w:t>
            </w:r>
          </w:p>
        </w:tc>
        <w:tc>
          <w:tcPr>
            <w:tcW w:w="4316"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57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Flora Verrecchia</w:t>
            </w:r>
          </w:p>
        </w:tc>
      </w:tr>
      <w:tr>
        <w:trPr/>
        <w:tc>
          <w:tcPr>
            <w:tcW w:w="124" w:type="dxa"/>
            <w:tcBorders/>
            <w:vAlign w:val="center"/>
          </w:tcPr>
          <w:p>
            <w:pPr>
              <w:pStyle w:val="TableContents"/>
              <w:bidi w:val="0"/>
              <w:spacing w:before="0" w:after="1"/>
              <w:ind w:left="0" w:right="0" w:hanging="0"/>
              <w:jc w:val="left"/>
              <w:rPr/>
            </w:pPr>
            <w:r>
              <w:rPr/>
              <w:t>​</w:t>
            </w:r>
          </w:p>
        </w:tc>
        <w:tc>
          <w:tcPr>
            <w:tcW w:w="157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316"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Flora Verrecchia</w:t>
            </w:r>
          </w:p>
        </w:tc>
      </w:tr>
      <w:tr>
        <w:trPr/>
        <w:tc>
          <w:tcPr>
            <w:tcW w:w="124" w:type="dxa"/>
            <w:tcBorders/>
            <w:vAlign w:val="center"/>
          </w:tcPr>
          <w:p>
            <w:pPr>
              <w:pStyle w:val="TableContents"/>
              <w:bidi w:val="0"/>
              <w:spacing w:before="0" w:after="1"/>
              <w:ind w:left="0" w:right="0" w:hanging="0"/>
              <w:jc w:val="left"/>
              <w:rPr/>
            </w:pPr>
            <w:r>
              <w:rPr/>
              <w:t>​</w:t>
            </w:r>
          </w:p>
        </w:tc>
        <w:tc>
          <w:tcPr>
            <w:tcW w:w="157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31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Manager</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589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129" w:type="dxa"/>
        <w:jc w:val="left"/>
        <w:tblInd w:w="0" w:type="dxa"/>
        <w:tblLayout w:type="fixed"/>
        <w:tblCellMar>
          <w:top w:w="0" w:type="dxa"/>
          <w:left w:w="0" w:type="dxa"/>
          <w:bottom w:w="0" w:type="dxa"/>
          <w:right w:w="0" w:type="dxa"/>
        </w:tblCellMar>
      </w:tblPr>
      <w:tblGrid>
        <w:gridCol w:w="124"/>
        <w:gridCol w:w="976"/>
        <w:gridCol w:w="6029"/>
      </w:tblGrid>
      <w:tr>
        <w:trPr/>
        <w:tc>
          <w:tcPr>
            <w:tcW w:w="124"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602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OAKTREE LSL FUND DELAWARE HOLDINGS EURRC, L.P.</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6029"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602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Life Sciences Lending Fund GP, L.P.</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602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6029"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602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Oaktree Life Sciences Lending Fund GP Ltd.</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602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602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Oaktree Capital Management, L.P.</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Its:</w:t>
            </w:r>
          </w:p>
        </w:tc>
        <w:tc>
          <w:tcPr>
            <w:tcW w:w="602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Director</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6029"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60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Mary Gallegly</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6029"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Mary Gallegly</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602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Managing Director</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6029"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60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Jessica Dombroff</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6029"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Jessica Dombroff</w:t>
            </w:r>
          </w:p>
        </w:tc>
      </w:tr>
      <w:tr>
        <w:trPr/>
        <w:tc>
          <w:tcPr>
            <w:tcW w:w="124"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602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Fund Administration, LLC </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Oaktree Agency</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Oaktreeagency@alterdomus.com</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Oaktree Capital Management, L.P. </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333 S. Grand Avenue, 28</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Los Angeles, CA 90071</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Aman Kumar</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AmKumar@oaktreecapital.com</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With a copy to:</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Sullivan &amp; Cromwell LLP </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125 Broad Street</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New York, NY 10004</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 Ari B. Blaut</w:t>
            </w:r>
          </w:p>
        </w:tc>
      </w:tr>
      <w:tr>
        <w:trPr/>
        <w:tc>
          <w:tcPr>
            <w:tcW w:w="124" w:type="dxa"/>
            <w:tcBorders/>
            <w:vAlign w:val="center"/>
          </w:tcPr>
          <w:p>
            <w:pPr>
              <w:pStyle w:val="TableContents"/>
              <w:bidi w:val="0"/>
              <w:spacing w:before="0" w:after="1"/>
              <w:ind w:left="0" w:right="0" w:hanging="0"/>
              <w:jc w:val="left"/>
              <w:rPr/>
            </w:pPr>
            <w:r>
              <w:rPr/>
              <w:t>​</w:t>
            </w:r>
          </w:p>
        </w:tc>
        <w:tc>
          <w:tcPr>
            <w:tcW w:w="7005"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169" w:type="dxa"/>
        <w:jc w:val="left"/>
        <w:tblInd w:w="0" w:type="dxa"/>
        <w:tblLayout w:type="fixed"/>
        <w:tblCellMar>
          <w:top w:w="0" w:type="dxa"/>
          <w:left w:w="0" w:type="dxa"/>
          <w:bottom w:w="0" w:type="dxa"/>
          <w:right w:w="0" w:type="dxa"/>
        </w:tblCellMar>
      </w:tblPr>
      <w:tblGrid>
        <w:gridCol w:w="124"/>
        <w:gridCol w:w="1069"/>
        <w:gridCol w:w="34"/>
        <w:gridCol w:w="4942"/>
      </w:tblGrid>
      <w:tr>
        <w:trPr/>
        <w:tc>
          <w:tcPr>
            <w:tcW w:w="124" w:type="dxa"/>
            <w:tcBorders/>
            <w:vAlign w:val="center"/>
          </w:tcPr>
          <w:p>
            <w:pPr>
              <w:pStyle w:val="TableContents"/>
              <w:bidi w:val="0"/>
              <w:spacing w:before="0" w:after="0"/>
              <w:ind w:left="0" w:right="0" w:hanging="0"/>
              <w:jc w:val="left"/>
              <w:rPr/>
            </w:pPr>
            <w:r>
              <w:rPr/>
              <w:t>​</w:t>
            </w:r>
          </w:p>
        </w:tc>
        <w:tc>
          <w:tcPr>
            <w:tcW w:w="1103" w:type="dxa"/>
            <w:gridSpan w:val="2"/>
            <w:tcBorders/>
            <w:vAlign w:val="center"/>
          </w:tcPr>
          <w:p>
            <w:pPr>
              <w:pStyle w:val="TableContents"/>
              <w:bidi w:val="0"/>
              <w:spacing w:before="0" w:after="0"/>
              <w:ind w:left="0" w:right="0" w:hanging="0"/>
              <w:jc w:val="left"/>
              <w:rPr/>
            </w:pPr>
            <w:r>
              <w:rPr/>
              <w:t>​</w:t>
            </w:r>
          </w:p>
        </w:tc>
        <w:tc>
          <w:tcPr>
            <w:tcW w:w="49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b/>
                <w:sz w:val="24"/>
              </w:rPr>
            </w:pPr>
            <w:r>
              <w:rPr>
                <w:rFonts w:ascii="Times New Roman;Times;serif" w:hAnsi="Times New Roman;Times;serif"/>
                <w:b/>
                <w:sz w:val="24"/>
              </w:rPr>
              <w:t>Q BOOST HOLDING LLC</w:t>
            </w:r>
          </w:p>
        </w:tc>
      </w:tr>
      <w:tr>
        <w:trPr/>
        <w:tc>
          <w:tcPr>
            <w:tcW w:w="124" w:type="dxa"/>
            <w:tcBorders/>
            <w:vAlign w:val="center"/>
          </w:tcPr>
          <w:p>
            <w:pPr>
              <w:pStyle w:val="TableContents"/>
              <w:bidi w:val="0"/>
              <w:spacing w:before="0" w:after="1"/>
              <w:ind w:left="0" w:right="0" w:hanging="0"/>
              <w:jc w:val="left"/>
              <w:rPr/>
            </w:pPr>
            <w:r>
              <w:rPr/>
              <w:t>​</w:t>
            </w:r>
          </w:p>
        </w:tc>
        <w:tc>
          <w:tcPr>
            <w:tcW w:w="1103" w:type="dxa"/>
            <w:gridSpan w:val="2"/>
            <w:tcBorders/>
            <w:vAlign w:val="center"/>
          </w:tcPr>
          <w:p>
            <w:pPr>
              <w:pStyle w:val="TableContents"/>
              <w:bidi w:val="0"/>
              <w:spacing w:before="0" w:after="1"/>
              <w:ind w:left="0" w:right="0" w:hanging="0"/>
              <w:jc w:val="left"/>
              <w:rPr/>
            </w:pPr>
            <w:r>
              <w:rPr/>
              <w:t>​</w:t>
            </w:r>
          </w:p>
        </w:tc>
        <w:tc>
          <w:tcPr>
            <w:tcW w:w="4942"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1103"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By:</w:t>
            </w:r>
          </w:p>
        </w:tc>
        <w:tc>
          <w:tcPr>
            <w:tcW w:w="49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 Ahmed Nasser Al-Abdulghani</w:t>
            </w:r>
          </w:p>
        </w:tc>
      </w:tr>
      <w:tr>
        <w:trPr/>
        <w:tc>
          <w:tcPr>
            <w:tcW w:w="124" w:type="dxa"/>
            <w:tcBorders/>
            <w:vAlign w:val="center"/>
          </w:tcPr>
          <w:p>
            <w:pPr>
              <w:pStyle w:val="TableContents"/>
              <w:bidi w:val="0"/>
              <w:spacing w:before="0" w:after="1"/>
              <w:ind w:left="0" w:right="0" w:hanging="0"/>
              <w:jc w:val="left"/>
              <w:rPr/>
            </w:pPr>
            <w:r>
              <w:rPr/>
              <w:t>​</w:t>
            </w:r>
          </w:p>
        </w:tc>
        <w:tc>
          <w:tcPr>
            <w:tcW w:w="1103"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Name:</w:t>
            </w:r>
          </w:p>
        </w:tc>
        <w:tc>
          <w:tcPr>
            <w:tcW w:w="4942"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Ahmed Nasser Al-Abdulghani</w:t>
            </w:r>
          </w:p>
        </w:tc>
      </w:tr>
      <w:tr>
        <w:trPr/>
        <w:tc>
          <w:tcPr>
            <w:tcW w:w="124" w:type="dxa"/>
            <w:tcBorders/>
            <w:vAlign w:val="center"/>
          </w:tcPr>
          <w:p>
            <w:pPr>
              <w:pStyle w:val="TableContents"/>
              <w:bidi w:val="0"/>
              <w:spacing w:before="0" w:after="1"/>
              <w:ind w:left="0" w:right="0" w:hanging="0"/>
              <w:jc w:val="left"/>
              <w:rPr/>
            </w:pPr>
            <w:r>
              <w:rPr/>
              <w:t>​</w:t>
            </w:r>
          </w:p>
        </w:tc>
        <w:tc>
          <w:tcPr>
            <w:tcW w:w="1103"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Title:</w:t>
            </w:r>
          </w:p>
        </w:tc>
        <w:tc>
          <w:tcPr>
            <w:tcW w:w="4942"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Director</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Address for Notices:</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c/o Qatar Investment Authority</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Ooredoo Tower (Building 14)</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Al Dafna Street (Street 801)</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Al Dafna (Zone 61) Doha, Qatar</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 copy (which shall not constitute notice) shall also be sent to:</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General Counsel</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Qatar Investment Authority</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Ooredoo Tower (Building 14)</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Al Dafna Street (Street 801)</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Al Dafna (Zone 61)</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Doha, Qatar</w:t>
            </w:r>
          </w:p>
        </w:tc>
      </w:tr>
      <w:tr>
        <w:trPr/>
        <w:tc>
          <w:tcPr>
            <w:tcW w:w="124" w:type="dxa"/>
            <w:tcBorders/>
            <w:vAlign w:val="center"/>
          </w:tcPr>
          <w:p>
            <w:pPr>
              <w:pStyle w:val="TableContents"/>
              <w:bidi w:val="0"/>
              <w:spacing w:before="0" w:after="1"/>
              <w:ind w:left="0" w:right="0" w:hanging="0"/>
              <w:jc w:val="left"/>
              <w:rPr/>
            </w:pPr>
            <w:r>
              <w:rPr/>
              <w:t>​</w:t>
            </w:r>
          </w:p>
        </w:tc>
        <w:tc>
          <w:tcPr>
            <w:tcW w:w="1103"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 xml:space="preserve">Email: </w:t>
            </w:r>
          </w:p>
        </w:tc>
        <w:tc>
          <w:tcPr>
            <w:tcW w:w="49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notices.legal@qia.qa</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 copy (which shall not constitute notice) shall also be sent to:</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Shearman &amp; Sterling LLP</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4"/>
              </w:rPr>
              <w:t>535 Mission Street, 25</w:t>
            </w:r>
            <w:r>
              <w:rPr>
                <w:rFonts w:ascii="Times New Roman;Times;serif" w:hAnsi="Times New Roman;Times;serif"/>
                <w:sz w:val="18"/>
              </w:rPr>
              <w:t xml:space="preserve">th </w:t>
            </w:r>
            <w:r>
              <w:rPr>
                <w:rFonts w:ascii="Times New Roman;Times;serif" w:hAnsi="Times New Roman;Times;serif"/>
                <w:sz w:val="24"/>
              </w:rPr>
              <w:t>Floor</w:t>
            </w:r>
          </w:p>
        </w:tc>
      </w:tr>
      <w:tr>
        <w:trPr/>
        <w:tc>
          <w:tcPr>
            <w:tcW w:w="124" w:type="dxa"/>
            <w:tcBorders/>
            <w:vAlign w:val="center"/>
          </w:tcPr>
          <w:p>
            <w:pPr>
              <w:pStyle w:val="TableContents"/>
              <w:bidi w:val="0"/>
              <w:spacing w:before="0" w:after="1"/>
              <w:ind w:left="0" w:right="0" w:hanging="0"/>
              <w:jc w:val="left"/>
              <w:rPr/>
            </w:pPr>
            <w:r>
              <w:rPr/>
              <w:t>​</w:t>
            </w:r>
          </w:p>
        </w:tc>
        <w:tc>
          <w:tcPr>
            <w:tcW w:w="6045" w:type="dxa"/>
            <w:gridSpan w:val="3"/>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San Francisco, CA 94105</w:t>
            </w:r>
          </w:p>
        </w:tc>
      </w:tr>
      <w:tr>
        <w:trPr/>
        <w:tc>
          <w:tcPr>
            <w:tcW w:w="124"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Attn:</w:t>
            </w:r>
          </w:p>
        </w:tc>
        <w:tc>
          <w:tcPr>
            <w:tcW w:w="4976"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Michael S. Dorf</w:t>
            </w:r>
          </w:p>
        </w:tc>
      </w:tr>
      <w:tr>
        <w:trPr/>
        <w:tc>
          <w:tcPr>
            <w:tcW w:w="124"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left"/>
              <w:rPr/>
            </w:pPr>
            <w:r>
              <w:rPr/>
              <w:t>​</w:t>
            </w:r>
          </w:p>
        </w:tc>
        <w:tc>
          <w:tcPr>
            <w:tcW w:w="4976"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Tomasz Kulawik</w:t>
            </w:r>
          </w:p>
        </w:tc>
      </w:tr>
      <w:tr>
        <w:trPr/>
        <w:tc>
          <w:tcPr>
            <w:tcW w:w="124"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Email:</w:t>
            </w:r>
          </w:p>
        </w:tc>
        <w:tc>
          <w:tcPr>
            <w:tcW w:w="4976"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mdorf@shearman.com</w:t>
            </w:r>
          </w:p>
        </w:tc>
      </w:tr>
      <w:tr>
        <w:trPr/>
        <w:tc>
          <w:tcPr>
            <w:tcW w:w="124"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left"/>
              <w:rPr/>
            </w:pPr>
            <w:r>
              <w:rPr/>
              <w:t>​</w:t>
            </w:r>
          </w:p>
        </w:tc>
        <w:tc>
          <w:tcPr>
            <w:tcW w:w="4976" w:type="dxa"/>
            <w:gridSpan w:val="2"/>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4"/>
              </w:rPr>
              <w:t>tomasz.kulawik@shearman.com</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Sixth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063" w:name="btai-20251231xex10d227.htm"/>
      <w:bookmarkStart w:id="1064" w:name="ksbtai20251231xex10d227"/>
      <w:bookmarkEnd w:id="1063"/>
      <w:bookmarkEnd w:id="1064"/>
      <w:r>
        <w:rPr>
          <w:rFonts w:ascii="Times New Roman;Times;serif" w:hAnsi="Times New Roman;Times;serif"/>
          <w:b/>
          <w:sz w:val="24"/>
        </w:rPr>
        <w:t>Exhibit 10.22.7</w:t>
      </w:r>
      <w:r>
        <w:br w:type="page"/>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Reference is made to that certain Credit Agreement and Guaranty, dated as of April 19, 2022, by and among BioXcel Therapeutics, Inc., the lenders party thereto and Oaktree Fund Administration, LLC, as administrative agent, as amended from time to time (the “Credit Agreement”). Capitalized terms used in this email and not otherwise defined herein shall have the meanings assigned to such terms in the Credit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Effective as of March 12, 2025, each of the Lenders and the Administrative Agent hereby agrees to further amend Section 8.22 of the Credit Agreement (in addition to the amendments thereto effective on December 6, 2024 and March 4, 2025) as set forth below:</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sz w:val="24"/>
        </w:rPr>
        <w:t>8.22                 Investment Bank</w:t>
      </w:r>
      <w:r>
        <w:rPr>
          <w:rFonts w:ascii="Times New Roman;Times;serif" w:hAnsi="Times New Roman;Times;serif"/>
          <w:sz w:val="24"/>
        </w:rPr>
        <w:t xml:space="preserve">. On or prior to </w:t>
      </w:r>
      <w:r>
        <w:rPr>
          <w:rFonts w:ascii="Times New Roman;Times;serif" w:hAnsi="Times New Roman;Times;serif"/>
          <w:b/>
          <w:sz w:val="24"/>
        </w:rPr>
        <w:t>April 30, 2025</w:t>
      </w:r>
      <w:r>
        <w:rPr>
          <w:rFonts w:ascii="Times New Roman;Times;serif" w:hAnsi="Times New Roman;Times;serif"/>
          <w:sz w:val="24"/>
        </w:rPr>
        <w:t>, the Borrower shall select and engage an investment banker reasonably acceptable to the Administrative Agent and the Lenders to assist the Borrower and its Board with evaluating and exploring strategic options.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065" w:name="btai-20251231xex10d228.htm"/>
      <w:bookmarkStart w:id="1066" w:name="ksbtai20251231xex10d228"/>
      <w:bookmarkEnd w:id="1065"/>
      <w:bookmarkEnd w:id="1066"/>
      <w:r>
        <w:rPr>
          <w:rFonts w:ascii="Times New Roman;Times;serif" w:hAnsi="Times New Roman;Times;serif"/>
          <w:b/>
          <w:sz w:val="24"/>
        </w:rPr>
        <w:t>Exhibit 10.22.8</w:t>
      </w:r>
      <w:r>
        <w:br w:type="page"/>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Reference is made to that certain Credit Agreement and Guaranty, dated as of April 19, 2022, by and among BioXcel Therapeutics, Inc., the lenders party thereto and Oaktree Fund Administration, LLC, as administrative agent, as amended from time to time (the “Credit Agreement”). Capitalized terms used in this email and not otherwise defined herein shall have the meanings assigned to such terms in the Credit Agreement.</w:t>
      </w:r>
    </w:p>
    <w:p>
      <w:pPr>
        <w:pStyle w:val="TextBody"/>
        <w:bidi w:val="0"/>
        <w:spacing w:before="0" w:after="240"/>
        <w:ind w:left="0" w:right="0" w:hanging="0"/>
        <w:jc w:val="left"/>
        <w:rPr/>
      </w:pPr>
      <w:r>
        <w:rPr/>
        <w:t> </w:t>
      </w:r>
      <w:r>
        <w:rPr>
          <w:rFonts w:ascii="Times New Roman;Times;serif" w:hAnsi="Times New Roman;Times;serif"/>
          <w:sz w:val="24"/>
        </w:rPr>
        <w:t>Effective as of April 22, 2025, each of the Lenders and the Administrative Agent hereby agrees to further amend Section 8.22 of the Credit Agreement (in addition to the amendments thereto effective on December 6, 2024, March 4, 2025 and March 12, 2025) as set forth below:</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sz w:val="24"/>
        </w:rPr>
        <w:t>8.22                 Investment Bank</w:t>
      </w:r>
      <w:r>
        <w:rPr>
          <w:rFonts w:ascii="Times New Roman;Times;serif" w:hAnsi="Times New Roman;Times;serif"/>
          <w:sz w:val="24"/>
        </w:rPr>
        <w:t xml:space="preserve">. On or prior to </w:t>
      </w:r>
      <w:r>
        <w:rPr>
          <w:rFonts w:ascii="Times New Roman;Times;serif" w:hAnsi="Times New Roman;Times;serif"/>
          <w:b/>
          <w:sz w:val="24"/>
        </w:rPr>
        <w:t>July 31, 2025</w:t>
      </w:r>
      <w:r>
        <w:rPr>
          <w:rFonts w:ascii="Times New Roman;Times;serif" w:hAnsi="Times New Roman;Times;serif"/>
          <w:sz w:val="24"/>
        </w:rPr>
        <w:t>, the Borrower shall select and engage an investment banker reasonably acceptable to the Administrative Agent and the Lenders to assist the Borrower and its Board with evaluating and exploring strategic options.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067" w:name="btai-20251231xex10d229.htm"/>
      <w:bookmarkStart w:id="1068" w:name="ksbtai20251231xex10d229"/>
      <w:bookmarkEnd w:id="1067"/>
      <w:bookmarkEnd w:id="1068"/>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10.22.9</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i/>
          <w:sz w:val="20"/>
        </w:rPr>
      </w:pPr>
      <w:r>
        <w:rPr>
          <w:rFonts w:ascii="Times New Roman;Times;serif" w:hAnsi="Times New Roman;Times;serif"/>
          <w:b/>
          <w:i/>
          <w:sz w:val="20"/>
        </w:rPr>
        <w:t>Execution Version</w:t>
      </w:r>
    </w:p>
    <w:p>
      <w:pPr>
        <w:pStyle w:val="TextBody"/>
        <w:bidi w:val="0"/>
        <w:spacing w:before="0" w:after="0"/>
        <w:ind w:left="0" w:right="0" w:hanging="0"/>
        <w:jc w:val="righ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NINTH AMENDMENT TO CREDIT AGREEMENT AND GUARANTY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Ninth Amendment to Credit Agreement and Guaranty (this “</w:t>
      </w:r>
      <w:r>
        <w:rPr>
          <w:rFonts w:ascii="Times New Roman;Times;serif" w:hAnsi="Times New Roman;Times;serif"/>
          <w:b/>
          <w:i/>
          <w:sz w:val="20"/>
        </w:rPr>
        <w:t>Amendment</w:t>
      </w:r>
      <w:r>
        <w:rPr>
          <w:rFonts w:ascii="Times New Roman;Times;serif" w:hAnsi="Times New Roman;Times;serif"/>
          <w:sz w:val="20"/>
        </w:rPr>
        <w:t>”) is made as of March 27, 2026, by and among BIOXCEL THERAPEUTICS, INC., a Delaware corporation (the “</w:t>
      </w:r>
      <w:r>
        <w:rPr>
          <w:rFonts w:ascii="Times New Roman;Times;serif" w:hAnsi="Times New Roman;Times;serif"/>
          <w:b/>
          <w:i/>
          <w:sz w:val="20"/>
        </w:rPr>
        <w:t>Borrower</w:t>
      </w:r>
      <w:r>
        <w:rPr>
          <w:rFonts w:ascii="Times New Roman;Times;serif" w:hAnsi="Times New Roman;Times;serif"/>
          <w:sz w:val="20"/>
        </w:rPr>
        <w:t>”), the lenders party hereto (collectively, the “</w:t>
      </w:r>
      <w:r>
        <w:rPr>
          <w:rFonts w:ascii="Times New Roman;Times;serif" w:hAnsi="Times New Roman;Times;serif"/>
          <w:b/>
          <w:i/>
          <w:sz w:val="20"/>
        </w:rPr>
        <w:t>Lenders</w:t>
      </w:r>
      <w:r>
        <w:rPr>
          <w:rFonts w:ascii="Times New Roman;Times;serif" w:hAnsi="Times New Roman;Times;serif"/>
          <w:sz w:val="20"/>
        </w:rPr>
        <w:t>” and individually, a “</w:t>
      </w:r>
      <w:r>
        <w:rPr>
          <w:rFonts w:ascii="Times New Roman;Times;serif" w:hAnsi="Times New Roman;Times;serif"/>
          <w:b/>
          <w:i/>
          <w:sz w:val="20"/>
        </w:rPr>
        <w:t>Lender</w:t>
      </w:r>
      <w:r>
        <w:rPr>
          <w:rFonts w:ascii="Times New Roman;Times;serif" w:hAnsi="Times New Roman;Times;serif"/>
          <w:sz w:val="20"/>
        </w:rPr>
        <w:t>”), and OAKTREE FUND ADMINISTRATION, LLC, as administrative agent on behalf of the Lenders (in such capacity, together with its successors and assigns, the “</w:t>
      </w:r>
      <w:r>
        <w:rPr>
          <w:rFonts w:ascii="Times New Roman;Times;serif" w:hAnsi="Times New Roman;Times;serif"/>
          <w:b/>
          <w:i/>
          <w:sz w:val="20"/>
        </w:rPr>
        <w:t>Administrative Agent</w:t>
      </w:r>
      <w:r>
        <w:rPr>
          <w:rFonts w:ascii="Times New Roman;Times;serif" w:hAnsi="Times New Roman;Times;serif"/>
          <w:sz w:val="20"/>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WHEREAS, the Borrower, the Administrative Agent and the Lenders previously entered into that certain Credit Agreement and Guaranty, dated as of April 19, 2022 (including the exhibits and other attachments thereto, as amended as of November 13, 2023, December 5, 2023, February 12, 2024, March 20, 2024, November 21, 2024, December 6, 2024, March 4, 2025, March 12, 2025 and April 22, 2025 (the “</w:t>
      </w:r>
      <w:r>
        <w:rPr>
          <w:rFonts w:ascii="Times New Roman;Times;serif" w:hAnsi="Times New Roman;Times;serif"/>
          <w:b/>
          <w:i/>
          <w:sz w:val="20"/>
        </w:rPr>
        <w:t>Existing Credit Agreement</w:t>
      </w:r>
      <w:r>
        <w:rPr>
          <w:rFonts w:ascii="Times New Roman;Times;serif" w:hAnsi="Times New Roman;Times;serif"/>
          <w:sz w:val="20"/>
        </w:rPr>
        <w:t>”, and as further amended by this Amendment, the “</w:t>
      </w:r>
      <w:r>
        <w:rPr>
          <w:rFonts w:ascii="Times New Roman;Times;serif" w:hAnsi="Times New Roman;Times;serif"/>
          <w:b/>
          <w:i/>
          <w:sz w:val="20"/>
        </w:rPr>
        <w:t>Credit Agreement</w:t>
      </w:r>
      <w:r>
        <w:rPr>
          <w:rFonts w:ascii="Times New Roman;Times;serif" w:hAnsi="Times New Roman;Times;serif"/>
          <w:sz w:val="20"/>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WHEREAS, the Borrower, the Administrative Agent and the Lenders have agreed to amend the Existing Credit Agreement on the terms and subject to the conditions set forth herein.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NOW, THEREFORE, for and in consideration of the above premises and other good and valuable consideration, the receipt and sufficiency of which is hereby acknowledged by the parties hereto, each of the Borrower, the Administrative Agent and the Lenders party hereto hereby covenant and agree as follows:</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w:t>
            </w:r>
          </w:p>
        </w:tc>
        <w:tc>
          <w:tcPr>
            <w:tcW w:w="100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Definitions</w:t>
            </w:r>
            <w:r>
              <w:rPr>
                <w:rFonts w:ascii="Times New Roman;Times;serif" w:hAnsi="Times New Roman;Times;serif"/>
                <w:sz w:val="20"/>
              </w:rPr>
              <w:t>. Capitalized terms used herein and not otherwise defined herein shall have the meanings assigned to such terms in the Existing Credit Agreement.</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1005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Amendments to the Existing Credit Agreement</w:t>
            </w:r>
            <w:r>
              <w:rPr>
                <w:rFonts w:ascii="Times New Roman;Times;serif" w:hAnsi="Times New Roman;Times;serif"/>
                <w:sz w:val="20"/>
              </w:rPr>
              <w:t>. Subject to the satisfaction of the conditions precedent specified in Section 4 hereof and the conditions subsequent specified in Section 5 hereof:</w:t>
            </w:r>
          </w:p>
        </w:tc>
      </w:tr>
    </w:tbl>
    <w:tbl>
      <w:tblPr>
        <w:tblW w:w="9903" w:type="dxa"/>
        <w:jc w:val="left"/>
        <w:tblInd w:w="0" w:type="dxa"/>
        <w:tblLayout w:type="fixed"/>
        <w:tblCellMar>
          <w:top w:w="0" w:type="dxa"/>
          <w:left w:w="0" w:type="dxa"/>
          <w:bottom w:w="0" w:type="dxa"/>
          <w:right w:w="0" w:type="dxa"/>
        </w:tblCellMar>
      </w:tblPr>
      <w:tblGrid>
        <w:gridCol w:w="23"/>
        <w:gridCol w:w="230"/>
        <w:gridCol w:w="96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6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new definition of “Ninth Amendment” is added to the Credit Agreement in appropriate alphabetical order as follows:</w:t>
            </w:r>
          </w:p>
        </w:tc>
      </w:tr>
    </w:tbl>
    <w:p>
      <w:pPr>
        <w:pStyle w:val="TextBody"/>
        <w:bidi w:val="0"/>
        <w:spacing w:before="0" w:after="200"/>
        <w:ind w:left="1440" w:right="0" w:hanging="0"/>
        <w:jc w:val="both"/>
        <w:rPr/>
      </w:pPr>
      <w:r>
        <w:rPr/>
        <w:t>“</w:t>
      </w:r>
      <w:r>
        <w:rPr>
          <w:rFonts w:ascii="Times New Roman;Times;serif" w:hAnsi="Times New Roman;Times;serif"/>
          <w:b/>
          <w:i/>
          <w:sz w:val="20"/>
        </w:rPr>
        <w:t>Ninth Amendment</w:t>
      </w:r>
      <w:r>
        <w:rPr>
          <w:rFonts w:ascii="Times New Roman;Times;serif" w:hAnsi="Times New Roman;Times;serif"/>
          <w:sz w:val="20"/>
        </w:rPr>
        <w:t>” means the Ninth Amendment to this Agreement, dated as of March 27, 2026.</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new definition of “Ninth Amendment Effective Date” is added to the Credit Agreement in appropriate alphabetical order as follows:</w:t>
            </w:r>
          </w:p>
        </w:tc>
      </w:tr>
    </w:tbl>
    <w:p>
      <w:pPr>
        <w:pStyle w:val="TextBody"/>
        <w:bidi w:val="0"/>
        <w:spacing w:before="0" w:after="200"/>
        <w:ind w:left="1440" w:right="0" w:hanging="0"/>
        <w:jc w:val="both"/>
        <w:rPr/>
      </w:pPr>
      <w:r>
        <w:rPr/>
        <w:t>“</w:t>
      </w:r>
      <w:r>
        <w:rPr>
          <w:rFonts w:ascii="Times New Roman;Times;serif" w:hAnsi="Times New Roman;Times;serif"/>
          <w:b/>
          <w:i/>
          <w:sz w:val="20"/>
        </w:rPr>
        <w:t>Ninth Amendment Effective Date</w:t>
      </w:r>
      <w:r>
        <w:rPr>
          <w:rFonts w:ascii="Times New Roman;Times;serif" w:hAnsi="Times New Roman;Times;serif"/>
          <w:sz w:val="20"/>
        </w:rPr>
        <w:t>” means the date all of the conditions precedent set forth in Section 4 of the Ninth Amendment have been satisfied.</w:t>
      </w:r>
    </w:p>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definition of “Minimum Liquidity Amount” in the Credit Agreement is hereby amended and restated in its entirety as set forth below:</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b/>
          <w:i/>
          <w:sz w:val="20"/>
        </w:rPr>
        <w:t>Minimum  Liquidity  Amount</w:t>
      </w:r>
      <w:r>
        <w:rPr>
          <w:rFonts w:ascii="Times New Roman;Times;serif" w:hAnsi="Times New Roman;Times;serif"/>
          <w:sz w:val="20"/>
        </w:rPr>
        <w:t>”  means  (i)  prior  to  consummation  of  the  Fifth Amendment Equity Raise One, $25,000,000, (ii) upon consummation of the Fifth</w:t>
      </w:r>
    </w:p>
    <w:p>
      <w:pPr>
        <w:pStyle w:val="TextBody"/>
        <w:bidi w:val="0"/>
        <w:spacing w:before="0" w:after="0"/>
        <w:ind w:left="1440" w:right="0" w:hanging="0"/>
        <w:jc w:val="both"/>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Amendment Equity Raise One to but excluding March 31, 2025, $7,500,000, (ii) from March 31, 2025 to but excluding January 1, 2026, $10,000,000, (iii) from and after January 1, 2026 to but excluding March 31, 2026, $15,000,000, (iv) from and after March 31, 2026, $12,500,000.</w:t>
      </w:r>
    </w:p>
    <w:tbl>
      <w:tblPr>
        <w:tblW w:w="8748" w:type="dxa"/>
        <w:jc w:val="left"/>
        <w:tblInd w:w="0" w:type="dxa"/>
        <w:tblLayout w:type="fixed"/>
        <w:tblCellMar>
          <w:top w:w="0" w:type="dxa"/>
          <w:left w:w="0" w:type="dxa"/>
          <w:bottom w:w="0" w:type="dxa"/>
          <w:right w:w="0" w:type="dxa"/>
        </w:tblCellMar>
      </w:tblPr>
      <w:tblGrid>
        <w:gridCol w:w="23"/>
        <w:gridCol w:w="245"/>
        <w:gridCol w:w="84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848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Section 8.01(b) of the Credit Agreement is hereby amended and restated in its entirety as set forth below:</w:t>
            </w:r>
          </w:p>
        </w:tc>
      </w:tr>
    </w:tbl>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as soon as available and in any event within ninety (90) days after the end of each fiscal year (i) the consolidated balance sheets of the Borrower and its Subsidiaries as of the end of such fiscal year and (ii) the related consolidated statements of income, stockholders’ equity and cash flows of the Borrower and its Subsidiaries for such fiscal year, in each case prepared in all material respects in accordance with GAAP consistently applied, all in reasonable detail and setting forth in comparative form the figures for the previous fiscal year, accompanied by a report and opinion thereon of Ernst &amp; Young U.S. LLP or another firm of independent certified public accountants of recognized national standing reasonably acceptable to the Administrative Agent, which report and opinion shall be prepared in accordance with generally accepted auditing standards and such report and opinion shall not be subject to (x) except with respect to the report and opinion delivered for the fiscal years ending on December 31, 2023, December 31, 2024, and December 31, 2025, any “going concern” or like qualification or exception or emphasis of matter of going concern footnote or (y) any qualification or exception as to the scope of such audit, and in the case of such consolidated financial statements, certified by a Responsible Officer of the Borrower; provided that documents required to be furnished pursuant to this Section 8.01(b) shall be deemed furnished on the date that such documents are publicly available on “EDGAR”;</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3.</w:t>
            </w:r>
          </w:p>
        </w:tc>
        <w:tc>
          <w:tcPr>
            <w:tcW w:w="10068"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Reaffirmation of Loan Documents</w:t>
            </w:r>
            <w:r>
              <w:rPr>
                <w:rFonts w:ascii="Times New Roman;Times;serif" w:hAnsi="Times New Roman;Times;serif"/>
                <w:sz w:val="20"/>
              </w:rPr>
              <w:t>. Except as otherwise expressly provided herein, the parties hereto agree that all terms and conditions of the Existing Credit Agreement and the other Loan Documents remain in full force and effect. The Borrower hereby confirms that the Security Documents and all of the Collateral described therein do, and shall continue to, secure the payment in full and performance of all of the Obligations.</w:t>
            </w:r>
          </w:p>
        </w:tc>
      </w:tr>
    </w:tbl>
    <w:tbl>
      <w:tblPr>
        <w:tblW w:w="9235" w:type="dxa"/>
        <w:jc w:val="left"/>
        <w:tblInd w:w="0" w:type="dxa"/>
        <w:tblLayout w:type="fixed"/>
        <w:tblCellMar>
          <w:top w:w="0" w:type="dxa"/>
          <w:left w:w="0" w:type="dxa"/>
          <w:bottom w:w="0" w:type="dxa"/>
          <w:right w:w="0" w:type="dxa"/>
        </w:tblCellMar>
      </w:tblPr>
      <w:tblGrid>
        <w:gridCol w:w="170"/>
        <w:gridCol w:w="9065"/>
      </w:tblGrid>
      <w:tr>
        <w:trPr/>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4.</w:t>
            </w:r>
          </w:p>
        </w:tc>
        <w:tc>
          <w:tcPr>
            <w:tcW w:w="906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Conditions Precedent to Effectiveness</w:t>
            </w:r>
            <w:r>
              <w:rPr>
                <w:rFonts w:ascii="Times New Roman;Times;serif" w:hAnsi="Times New Roman;Times;serif"/>
                <w:sz w:val="20"/>
              </w:rPr>
              <w:t>. This Amendment shall be subject to the following conditions precedent:</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Amendment shall have been duly executed and delivered to the Administrative Agent by the Borrower and the Lenders, which constitute all of the Lenders under the Existing Credit Agreement;</w:t>
            </w:r>
          </w:p>
        </w:tc>
      </w:tr>
    </w:tbl>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of the representations and warranties in Section 7 of this Amendment, Section 7 of the Credit Agreement and in the other Loan Documents shall be true, accurate and complete in all material respects (unless such representations are already qualified by reference to materiality, Material Adverse Effect or similar language, in which case such representations and warranties shall be true and correct in all</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respects) on and as of the date hereof with the same effect as though made on and as of such date, except to the extent such representations and warranties expressly relate to an earlier date, in which case such representations and warranties shall have been true and correct in all respects on and as of such earlier date;</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w:t>
            </w:r>
          </w:p>
        </w:tc>
        <w:tc>
          <w:tcPr>
            <w:tcW w:w="9979"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At the time of and after giving effect to this Amendment, no fact or condition exists that constitutes, or with the passage of time, the giving of notice, or both, would constitute, a Default or Event of Default;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w:t>
            </w:r>
          </w:p>
        </w:tc>
        <w:tc>
          <w:tcPr>
            <w:tcW w:w="998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Borrower shall have paid all costs, fees and expenses of the Administrative Agent and the Lenders, including, the fees and expenses of Sullivan &amp; Cromwell LLP, as outside counsel to Administrative Agent and the Oaktree Lenders and the fees and expenses of Allen Overy Shearman Sterling US LLP, as outside counsel to Q Boost Holding LLC, incurred prior to the date hereof, to the extent invoiced on or prior to the date hereof.</w:t>
            </w:r>
          </w:p>
        </w:tc>
      </w:tr>
    </w:tbl>
    <w:tbl>
      <w:tblPr>
        <w:tblW w:w="9505" w:type="dxa"/>
        <w:jc w:val="left"/>
        <w:tblInd w:w="0" w:type="dxa"/>
        <w:tblLayout w:type="fixed"/>
        <w:tblCellMar>
          <w:top w:w="0" w:type="dxa"/>
          <w:left w:w="0" w:type="dxa"/>
          <w:bottom w:w="0" w:type="dxa"/>
          <w:right w:w="0" w:type="dxa"/>
        </w:tblCellMar>
      </w:tblPr>
      <w:tblGrid>
        <w:gridCol w:w="170"/>
        <w:gridCol w:w="9335"/>
      </w:tblGrid>
      <w:tr>
        <w:trPr/>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5.</w:t>
            </w:r>
          </w:p>
        </w:tc>
        <w:tc>
          <w:tcPr>
            <w:tcW w:w="933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Conditions Subsequent to Effectiveness</w:t>
            </w:r>
            <w:r>
              <w:rPr>
                <w:rFonts w:ascii="Times New Roman;Times;serif" w:hAnsi="Times New Roman;Times;serif"/>
                <w:sz w:val="20"/>
              </w:rPr>
              <w:t>. This Amendment shall be subject to the following conditions subsequent:</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Ninth Amendment Consideration</w:t>
            </w:r>
            <w:r>
              <w:rPr>
                <w:rFonts w:ascii="Times New Roman;Times;serif" w:hAnsi="Times New Roman;Times;serif"/>
                <w:sz w:val="20"/>
              </w:rPr>
              <w:t xml:space="preserve">. On or before April 15, 2026, the Borrower shall, at its option, either (x) pay to the Lenders an amendment fee in cash in an amount equal to $2,032,624.09 or (y) (i) issue and deliver to the Lenders warrants, evidenced by an instrument substantially in the form of </w:t>
            </w:r>
            <w:r>
              <w:rPr>
                <w:rFonts w:ascii="Times New Roman;Times;serif" w:hAnsi="Times New Roman;Times;serif"/>
                <w:sz w:val="20"/>
                <w:u w:val="single"/>
              </w:rPr>
              <w:t>Exhibit A</w:t>
            </w:r>
            <w:r>
              <w:rPr>
                <w:rFonts w:ascii="Times New Roman;Times;serif" w:hAnsi="Times New Roman;Times;serif"/>
                <w:sz w:val="20"/>
              </w:rPr>
              <w:t xml:space="preserve"> attached hereto, exercisable at $0.01 per share and for 1,353,729 shares of common stock of the Borrower in the aggregate (the “</w:t>
            </w:r>
            <w:r>
              <w:rPr>
                <w:rFonts w:ascii="Times New Roman;Times;serif" w:hAnsi="Times New Roman;Times;serif"/>
                <w:b/>
                <w:i/>
                <w:sz w:val="20"/>
              </w:rPr>
              <w:t>Ninth Amendment Warrant Issuance</w:t>
            </w:r>
            <w:r>
              <w:rPr>
                <w:rFonts w:ascii="Times New Roman;Times;serif" w:hAnsi="Times New Roman;Times;serif"/>
                <w:sz w:val="20"/>
              </w:rPr>
              <w:t>”) and (ii) duly execute and deliver to the Administrative Agent, in form and substance reasonably satisfactory to the Administrative Agent, a Fourth Amended and Restated Registration Rights Agreement, dated as of the date of the Ninth Amendment Warrant Issuance, by and among the Borrower, the purchasers party thereto and such other Persons, if any, from time to time, that become a party thereto.</w:t>
            </w:r>
          </w:p>
        </w:tc>
      </w:tr>
    </w:tbl>
    <w:tbl>
      <w:tblPr>
        <w:tblW w:w="1368" w:type="dxa"/>
        <w:jc w:val="left"/>
        <w:tblInd w:w="0" w:type="dxa"/>
        <w:tblLayout w:type="fixed"/>
        <w:tblCellMar>
          <w:top w:w="0" w:type="dxa"/>
          <w:left w:w="0" w:type="dxa"/>
          <w:bottom w:w="0" w:type="dxa"/>
          <w:right w:w="0" w:type="dxa"/>
        </w:tblCellMar>
      </w:tblPr>
      <w:tblGrid>
        <w:gridCol w:w="23"/>
        <w:gridCol w:w="245"/>
        <w:gridCol w:w="11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11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Prepayments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w:t>
            </w:r>
          </w:p>
        </w:tc>
        <w:tc>
          <w:tcPr>
            <w:tcW w:w="1001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On or prior to March 31, 2026, the Borrower shall make a prepayment of the Loans in an aggregate principal amount of $2,500,000, together with accrued and unpaid interest thereon (the “</w:t>
            </w:r>
            <w:r>
              <w:rPr>
                <w:rFonts w:ascii="Times New Roman;Times;serif" w:hAnsi="Times New Roman;Times;serif"/>
                <w:b/>
                <w:i/>
                <w:sz w:val="20"/>
              </w:rPr>
              <w:t>Ninth Amendment Prepayment</w:t>
            </w:r>
            <w:r>
              <w:rPr>
                <w:rFonts w:ascii="Times New Roman;Times;serif" w:hAnsi="Times New Roman;Times;serif"/>
                <w:sz w:val="20"/>
              </w:rPr>
              <w:t>”).</w:t>
            </w:r>
          </w:p>
        </w:tc>
      </w:tr>
    </w:tbl>
    <w:p>
      <w:pPr>
        <w:pStyle w:val="TextBody"/>
        <w:bidi w:val="0"/>
        <w:spacing w:before="0" w:after="200"/>
        <w:ind w:left="2160" w:right="0" w:hanging="0"/>
        <w:jc w:val="both"/>
        <w:rPr>
          <w:rFonts w:ascii="Times New Roman;Times;serif" w:hAnsi="Times New Roman;Times;serif"/>
          <w:sz w:val="20"/>
        </w:rPr>
      </w:pPr>
      <w:r>
        <w:rPr>
          <w:rFonts w:ascii="Times New Roman;Times;serif" w:hAnsi="Times New Roman;Times;serif"/>
          <w:sz w:val="20"/>
        </w:rPr>
        <w:t xml:space="preserve">The Ninth Amendment Prepayment will be applied as set forth in Section 3.03 of the Credit Agreement;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that</w:t>
      </w:r>
      <w:r>
        <w:rPr>
          <w:rFonts w:ascii="Times New Roman;Times;serif" w:hAnsi="Times New Roman;Times;serif"/>
          <w:sz w:val="20"/>
        </w:rPr>
        <w:t xml:space="preserve"> no Prepayment Fee or other amounts shall be payable with respect to the Ninth Amendment Prepayment. For the avoidance of doubt, all notice and other obligations related to prepayments under the Credit Agreement are deemed satisfied with respect to the Ninth Amendment Prepayment.</w:t>
      </w:r>
    </w:p>
    <w:tbl>
      <w:tblPr>
        <w:tblW w:w="5838" w:type="dxa"/>
        <w:jc w:val="left"/>
        <w:tblInd w:w="0" w:type="dxa"/>
        <w:tblLayout w:type="fixed"/>
        <w:tblCellMar>
          <w:top w:w="0" w:type="dxa"/>
          <w:left w:w="0" w:type="dxa"/>
          <w:bottom w:w="0" w:type="dxa"/>
          <w:right w:w="0" w:type="dxa"/>
        </w:tblCellMar>
      </w:tblPr>
      <w:tblGrid>
        <w:gridCol w:w="23"/>
        <w:gridCol w:w="260"/>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Within three (3) Business Days after any date on which the Borrower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2160" w:right="0" w:hanging="0"/>
        <w:jc w:val="both"/>
        <w:rPr>
          <w:rFonts w:ascii="Times New Roman;Times;serif" w:hAnsi="Times New Roman;Times;serif"/>
          <w:sz w:val="20"/>
        </w:rPr>
      </w:pPr>
      <w:r>
        <w:rPr>
          <w:rFonts w:ascii="Times New Roman;Times;serif" w:hAnsi="Times New Roman;Times;serif"/>
          <w:sz w:val="20"/>
        </w:rPr>
        <w:t>receives gross cash proceeds from any Permitted Capital Raise Activity after the Ninth Amendment Effective Date, the Borrower shall make a prepayment of the Loans in an aggregate principal amount equal to 50% of such gross cash proceeds, together with accrued and unpaid interest thereon and any fees or premia (including the Prepayment Fee) payable in connection therewith (such prepayments, the “</w:t>
      </w:r>
      <w:r>
        <w:rPr>
          <w:rFonts w:ascii="Times New Roman;Times;serif" w:hAnsi="Times New Roman;Times;serif"/>
          <w:b/>
          <w:i/>
          <w:sz w:val="20"/>
        </w:rPr>
        <w:t>Capital Raise Prepayments</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that</w:t>
      </w:r>
      <w:r>
        <w:rPr>
          <w:rFonts w:ascii="Times New Roman;Times;serif" w:hAnsi="Times New Roman;Times;serif"/>
          <w:sz w:val="20"/>
        </w:rPr>
        <w:t xml:space="preserve"> the foregoing requirement shall not apply (A) with respect to the first $2,500,000 in the aggregate of proceeds raised from Permitted Capital Raise Activities and (B) once the aggregate principal amount of the Loans prepaid pursuant to one or more Capital Raise Prepayments equals $2,500,000.</w:t>
      </w:r>
    </w:p>
    <w:p>
      <w:pPr>
        <w:pStyle w:val="TextBody"/>
        <w:bidi w:val="0"/>
        <w:spacing w:before="0" w:after="200"/>
        <w:ind w:left="2160" w:right="0" w:hanging="0"/>
        <w:jc w:val="both"/>
        <w:rPr>
          <w:rFonts w:ascii="Times New Roman;Times;serif" w:hAnsi="Times New Roman;Times;serif"/>
          <w:sz w:val="20"/>
        </w:rPr>
      </w:pPr>
      <w:r>
        <w:rPr>
          <w:rFonts w:ascii="Times New Roman;Times;serif" w:hAnsi="Times New Roman;Times;serif"/>
          <w:sz w:val="20"/>
        </w:rPr>
        <w:t>The Capital Raise Prepayments will be applied as set forth in Section 3.03 the Credit Agreement. For the avoidance of doubt, all notice and other obligations related to prepayments under the Credit Agreement are deemed satisfied with respect to the Capital Raise Prepayments.</w:t>
      </w:r>
    </w:p>
    <w:tbl>
      <w:tblPr>
        <w:tblW w:w="6535" w:type="dxa"/>
        <w:jc w:val="left"/>
        <w:tblInd w:w="0" w:type="dxa"/>
        <w:tblLayout w:type="fixed"/>
        <w:tblCellMar>
          <w:top w:w="0" w:type="dxa"/>
          <w:left w:w="0" w:type="dxa"/>
          <w:bottom w:w="0" w:type="dxa"/>
          <w:right w:w="0" w:type="dxa"/>
        </w:tblCellMar>
      </w:tblPr>
      <w:tblGrid>
        <w:gridCol w:w="170"/>
        <w:gridCol w:w="6365"/>
      </w:tblGrid>
      <w:tr>
        <w:trPr/>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636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Representations and Warranties</w:t>
            </w:r>
            <w:r>
              <w:rPr>
                <w:rFonts w:ascii="Times New Roman;Times;serif" w:hAnsi="Times New Roman;Times;serif"/>
                <w:sz w:val="20"/>
              </w:rPr>
              <w:t>. The Borrower hereby represents and warrants:</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0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None of the execution, delivery and performance by the Borrower of this Amendment and the documents, instruments and agreements executed in connection herewith (collectively, the “</w:t>
            </w:r>
            <w:r>
              <w:rPr>
                <w:rFonts w:ascii="Times New Roman;Times;serif" w:hAnsi="Times New Roman;Times;serif"/>
                <w:b/>
                <w:i/>
                <w:sz w:val="20"/>
              </w:rPr>
              <w:t>Amendment Documents</w:t>
            </w:r>
            <w:r>
              <w:rPr>
                <w:rFonts w:ascii="Times New Roman;Times;serif" w:hAnsi="Times New Roman;Times;serif"/>
                <w:sz w:val="20"/>
              </w:rPr>
              <w:t>”)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Amendment and the other Amendment Documents have been duly authorized by all necessary corporate or other organizational action including, if required, approval by all necessary holders of Equity Interests, and duly executed and delivered by the Borrower and constitutes, and each of the Amendment Documents when executed and delivered by the Borrower will constitute, a legal, valid and binding obligation of the Borrower, enforceable against the Borrower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65" w:type="dxa"/>
        <w:jc w:val="left"/>
        <w:tblInd w:w="0" w:type="dxa"/>
        <w:tblLayout w:type="fixed"/>
        <w:tblCellMar>
          <w:top w:w="0" w:type="dxa"/>
          <w:left w:w="0" w:type="dxa"/>
          <w:bottom w:w="0" w:type="dxa"/>
          <w:right w:w="0" w:type="dxa"/>
        </w:tblCellMar>
      </w:tblPr>
      <w:tblGrid>
        <w:gridCol w:w="170"/>
        <w:gridCol w:w="695"/>
      </w:tblGrid>
      <w:tr>
        <w:trPr/>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w:t>
            </w:r>
          </w:p>
        </w:tc>
        <w:tc>
          <w:tcPr>
            <w:tcW w:w="69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Release</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1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In consideration of this Amendment and agreements of the Administrative Agent and the Lenders contained herein and for other good and valuable consideration, the receipt and sufficiency of which is hereby acknowledged, the Borrower (the “</w:t>
            </w:r>
            <w:r>
              <w:rPr>
                <w:rFonts w:ascii="Times New Roman;Times;serif" w:hAnsi="Times New Roman;Times;serif"/>
                <w:b/>
                <w:i/>
                <w:sz w:val="20"/>
              </w:rPr>
              <w:t>Releasing Party</w:t>
            </w:r>
            <w:r>
              <w:rPr>
                <w:rFonts w:ascii="Times New Roman;Times;serif" w:hAnsi="Times New Roman;Times;serif"/>
                <w:sz w:val="20"/>
              </w:rPr>
              <w:t>”), on behalf of itself and its successors, assigns and other legal representatives hereby absolutely, unconditionally and irrevocably releases, remises and forever discharges the Administrative Agent and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Party (the Administrative Agent, each Lender and all such other Persons being hereinafter referred to collectively as the “</w:t>
            </w:r>
            <w:r>
              <w:rPr>
                <w:rFonts w:ascii="Times New Roman;Times;serif" w:hAnsi="Times New Roman;Times;serif"/>
                <w:b/>
                <w:i/>
                <w:sz w:val="20"/>
              </w:rPr>
              <w:t>Releasees</w:t>
            </w:r>
            <w:r>
              <w:rPr>
                <w:rFonts w:ascii="Times New Roman;Times;serif" w:hAnsi="Times New Roman;Times;serif"/>
                <w:sz w:val="20"/>
              </w:rPr>
              <w:t>” and individually as a “</w:t>
            </w:r>
            <w:r>
              <w:rPr>
                <w:rFonts w:ascii="Times New Roman;Times;serif" w:hAnsi="Times New Roman;Times;serif"/>
                <w:b/>
                <w:i/>
                <w:sz w:val="20"/>
              </w:rPr>
              <w:t>Releasee</w:t>
            </w:r>
            <w:r>
              <w:rPr>
                <w:rFonts w:ascii="Times New Roman;Times;serif" w:hAnsi="Times New Roman;Times;serif"/>
                <w:sz w:val="20"/>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rFonts w:ascii="Times New Roman;Times;serif" w:hAnsi="Times New Roman;Times;serif"/>
                <w:b/>
                <w:i/>
                <w:sz w:val="20"/>
              </w:rPr>
              <w:t>Claim</w:t>
            </w:r>
            <w:r>
              <w:rPr>
                <w:rFonts w:ascii="Times New Roman;Times;serif" w:hAnsi="Times New Roman;Times;serif"/>
                <w:sz w:val="20"/>
              </w:rPr>
              <w:t>” and collectively, the “</w:t>
            </w:r>
            <w:r>
              <w:rPr>
                <w:rFonts w:ascii="Times New Roman;Times;serif" w:hAnsi="Times New Roman;Times;serif"/>
                <w:b/>
                <w:i/>
                <w:sz w:val="20"/>
              </w:rPr>
              <w:t>Claims</w:t>
            </w:r>
            <w:r>
              <w:rPr>
                <w:rFonts w:ascii="Times New Roman;Times;serif" w:hAnsi="Times New Roman;Times;serif"/>
                <w:sz w:val="20"/>
              </w:rPr>
              <w:t>”). The Releasing Party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Section 7. Furthermore, the Releasing Party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Section 7. The foregoing release, covenant and waivers of this Section 7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99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Each Releasing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Releasing Party agrees that no fact, event, circumstance, evidence or transaction which could now be asserted or which may hereafter be discovered shall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sz w:val="20"/>
        </w:rPr>
        <w:t>affect in any manner the final, absolute and unconditional nature of the release set forth above.</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8.</w:t>
            </w:r>
          </w:p>
        </w:tc>
        <w:tc>
          <w:tcPr>
            <w:tcW w:w="100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Fees and Expenses</w:t>
            </w:r>
            <w:r>
              <w:rPr>
                <w:rFonts w:ascii="Times New Roman;Times;serif" w:hAnsi="Times New Roman;Times;serif"/>
                <w:sz w:val="20"/>
              </w:rPr>
              <w:t>. The Borrower agrees to pay on demand (a) all out-of-pocket fees, costs and expenses of the Administrative Agent and the Lenders accrued prior to the date hereof and (b) all out-of-pocket fees, costs and expenses of the Administrative Agent and the Lenders incurred in connection with the preparation, execution and delivery of (i) this Amendment, (ii) any Amendment Documents, other Loan Documents or other post-closing amendments, agreements, arrangements or documentation, (iii) any other instruments and documents to be delivered hereunder or thereunder, in each case of clauses (a) and (b), including the fees and expenses of Sullivan &amp; Cromwell LLP, as outside counsel to Administrative Agent and the Oaktree Lenders, and Allen Overy Shearman Sterling US LLP, as outside counsel to Q Boost Holding LLC, with respect thereto.</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9.</w:t>
            </w:r>
          </w:p>
        </w:tc>
        <w:tc>
          <w:tcPr>
            <w:tcW w:w="100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Tax Treatment</w:t>
            </w:r>
            <w:r>
              <w:rPr>
                <w:rFonts w:ascii="Times New Roman;Times;serif" w:hAnsi="Times New Roman;Times;serif"/>
                <w:sz w:val="20"/>
              </w:rPr>
              <w:t>. The Borrower and the Lenders agree that the Ninth Amendment Warrant Issuance shall not be treated for U.S. federal income tax purposes as a fee or as a payment</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that is otherwise subject to U.S. withholding Tax, but shall rather be treated as either (i) if the Ninth Amendment Warrant Issuance does not trigger a “significant modification” of the Loans within the meaning of Treasury Regulations Section 1.1001-3(e), an unscheduled payment on the Loans of an amount equal to the fair market value of the warrants issued thereunder or (ii) ) if the Ninth Amendment Warrant Issuance does trigger a “significant modification” of the Loans within the meaning of Treasury Regulations Section 1.1001-3(e), a payment in exchange for the deemed disposition of the Loans equal to the fair market value of the warrants issued thereunder.</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10.</w:t>
            </w:r>
          </w:p>
        </w:tc>
        <w:tc>
          <w:tcPr>
            <w:tcW w:w="12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u w:val="single"/>
              </w:rPr>
              <w:t>Miscellaneous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Except as otherwise expressly provided herein, (i) all provisions of the Credit Agreement and the other Loan Documents remain in full force and effect and (ii) the execution, delivery and effectiveness of this Amendment shall not operate as a waiver of any right, power or remedy of the Administrative Agent or the Lenders, nor constitute a waiver of any provision of the Existing Credit Agreement or any of the Loan Documents. None of the Administrative Agent or any Lender is under any obligation to enter into this Amendment. The entering into of this Amendment by such parties shall not be deemed to limit or hinder any rights of any such party under the Loan Documents, nor shall it be deemed to create or infer a course of dealing between any such party, on the one hand, and the Borrower, on the other hand, with regard to any provision of the Loan Documents. This Amendment shall constitute a Loan Document.</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tc>
      </w:tr>
    </w:tbl>
    <w:tbl>
      <w:tblPr>
        <w:tblW w:w="6828" w:type="dxa"/>
        <w:jc w:val="left"/>
        <w:tblInd w:w="0" w:type="dxa"/>
        <w:tblLayout w:type="fixed"/>
        <w:tblCellMar>
          <w:top w:w="0" w:type="dxa"/>
          <w:left w:w="0" w:type="dxa"/>
          <w:bottom w:w="0" w:type="dxa"/>
          <w:right w:w="0" w:type="dxa"/>
        </w:tblCellMar>
      </w:tblPr>
      <w:tblGrid>
        <w:gridCol w:w="23"/>
        <w:gridCol w:w="230"/>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65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Amendment expresses the entire understanding of the parties with respect to</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the amendments contemplated hereby. No prior negotiations or discussions shall limit, modify, or otherwise affect the provisions hereof.</w:t>
      </w:r>
    </w:p>
    <w:p>
      <w:pPr>
        <w:pStyle w:val="TextBody"/>
        <w:bidi w:val="0"/>
        <w:spacing w:before="0" w:after="0"/>
        <w:ind w:left="0" w:right="0" w:hanging="0"/>
        <w:jc w:val="left"/>
        <w:rPr/>
      </w:pPr>
      <w:r>
        <w:rPr/>
        <w:t>​</w: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This Amendment and its contents shall be subject to the governing law, indemnification, venue, service of process, waivers of jury trial and severability provisions of the Existing Credit Agreement, mutatis mutandis.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WITNESS WHEREOF, the parties hereto have caused this Amendment to be duly executed and delivered as of the day and year first above written.</w:t>
      </w:r>
    </w:p>
    <w:p>
      <w:pPr>
        <w:pStyle w:val="TextBody"/>
        <w:bidi w:val="0"/>
        <w:spacing w:before="0" w:after="0"/>
        <w:ind w:left="0" w:right="0" w:hanging="0"/>
        <w:jc w:val="left"/>
        <w:rPr/>
      </w:pPr>
      <w:r>
        <w:rPr/>
        <w:t>​</w:t>
      </w:r>
    </w:p>
    <w:tbl>
      <w:tblPr>
        <w:tblW w:w="4354" w:type="dxa"/>
        <w:jc w:val="left"/>
        <w:tblInd w:w="0" w:type="dxa"/>
        <w:tblLayout w:type="fixed"/>
        <w:tblCellMar>
          <w:top w:w="0" w:type="dxa"/>
          <w:left w:w="0" w:type="dxa"/>
          <w:bottom w:w="0" w:type="dxa"/>
          <w:right w:w="0" w:type="dxa"/>
        </w:tblCellMar>
      </w:tblPr>
      <w:tblGrid>
        <w:gridCol w:w="124"/>
        <w:gridCol w:w="987"/>
        <w:gridCol w:w="3243"/>
      </w:tblGrid>
      <w:tr>
        <w:trPr/>
        <w:tc>
          <w:tcPr>
            <w:tcW w:w="124"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left"/>
              <w:rPr/>
            </w:pPr>
            <w:r>
              <w:rPr/>
              <w:t>​</w:t>
            </w:r>
          </w:p>
        </w:tc>
        <w:tc>
          <w:tcPr>
            <w:tcW w:w="324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BORROWER:</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Vimal Mehta</w:t>
            </w:r>
          </w:p>
        </w:tc>
      </w:tr>
      <w:tr>
        <w:trPr/>
        <w:tc>
          <w:tcPr>
            <w:tcW w:w="124"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4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Vimal Mehta</w:t>
            </w:r>
          </w:p>
        </w:tc>
      </w:tr>
      <w:tr>
        <w:trPr/>
        <w:tc>
          <w:tcPr>
            <w:tcW w:w="124" w:type="dxa"/>
            <w:tcBorders/>
            <w:vAlign w:val="center"/>
          </w:tcPr>
          <w:p>
            <w:pPr>
              <w:pStyle w:val="TableContents"/>
              <w:bidi w:val="0"/>
              <w:spacing w:before="0" w:after="0"/>
              <w:ind w:left="0" w:right="0" w:hanging="0"/>
              <w:jc w:val="left"/>
              <w:rPr/>
            </w:pPr>
            <w:r>
              <w:rPr/>
              <w:t>​</w:t>
            </w:r>
          </w:p>
        </w:tc>
        <w:tc>
          <w:tcPr>
            <w:tcW w:w="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for Notices:</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555 Long Wharf Drive, 12</w:t>
            </w:r>
            <w:r>
              <w:rPr>
                <w:rFonts w:ascii="Times New Roman;Times;serif" w:hAnsi="Times New Roman;Times;serif"/>
                <w:sz w:val="15"/>
              </w:rPr>
              <w:t>th</w:t>
            </w:r>
            <w:r>
              <w:rPr>
                <w:rFonts w:ascii="Times New Roman;Times;serif" w:hAnsi="Times New Roman;Times;serif"/>
                <w:sz w:val="20"/>
              </w:rPr>
              <w:t xml:space="preserve"> Floor</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Haven, CT</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06511</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a copy to (which shall not constitute notice):</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Cooley LLP</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Embarcadero Center 20</w:t>
            </w:r>
            <w:r>
              <w:rPr>
                <w:rFonts w:ascii="Times New Roman;Times;serif" w:hAnsi="Times New Roman;Times;serif"/>
                <w:sz w:val="15"/>
              </w:rPr>
              <w:t>th</w:t>
            </w:r>
            <w:r>
              <w:rPr>
                <w:rFonts w:ascii="Times New Roman;Times;serif" w:hAnsi="Times New Roman;Times;serif"/>
                <w:sz w:val="20"/>
              </w:rPr>
              <w:t xml:space="preserve"> Floor</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Francisco, CA 94111-4004</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Attn: Mischi a Marca</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gmamarca@cooley.com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98" w:type="dxa"/>
        <w:jc w:val="left"/>
        <w:tblInd w:w="0" w:type="dxa"/>
        <w:tblLayout w:type="fixed"/>
        <w:tblCellMar>
          <w:top w:w="0" w:type="dxa"/>
          <w:left w:w="0" w:type="dxa"/>
          <w:bottom w:w="0" w:type="dxa"/>
          <w:right w:w="0" w:type="dxa"/>
        </w:tblCellMar>
      </w:tblPr>
      <w:tblGrid>
        <w:gridCol w:w="124"/>
        <w:gridCol w:w="551"/>
        <w:gridCol w:w="856"/>
        <w:gridCol w:w="2567"/>
      </w:tblGrid>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256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ADMINISTRATIVE AGENT:</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 FUND ADMINISTRATION, LLC</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2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8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6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2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8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6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Oaktreeagency@alterdomus.com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39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428" w:type="dxa"/>
        <w:jc w:val="left"/>
        <w:tblInd w:w="0" w:type="dxa"/>
        <w:tblLayout w:type="fixed"/>
        <w:tblCellMar>
          <w:top w:w="0" w:type="dxa"/>
          <w:left w:w="0" w:type="dxa"/>
          <w:bottom w:w="0" w:type="dxa"/>
          <w:right w:w="0" w:type="dxa"/>
        </w:tblCellMar>
      </w:tblPr>
      <w:tblGrid>
        <w:gridCol w:w="124"/>
        <w:gridCol w:w="597"/>
        <w:gridCol w:w="927"/>
        <w:gridCol w:w="2780"/>
      </w:tblGrid>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278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LENDERS:</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OAKTREE-TCDRS STRATEGIC CREDIT, LLC</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7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92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8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92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8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3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blauta@sullcrom.com </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48" w:type="dxa"/>
        <w:jc w:val="left"/>
        <w:tblInd w:w="0" w:type="dxa"/>
        <w:tblLayout w:type="fixed"/>
        <w:tblCellMar>
          <w:top w:w="0" w:type="dxa"/>
          <w:left w:w="0" w:type="dxa"/>
          <w:bottom w:w="0" w:type="dxa"/>
          <w:right w:w="0" w:type="dxa"/>
        </w:tblCellMar>
      </w:tblPr>
      <w:tblGrid>
        <w:gridCol w:w="124"/>
        <w:gridCol w:w="613"/>
        <w:gridCol w:w="953"/>
        <w:gridCol w:w="2858"/>
      </w:tblGrid>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pPr>
            <w:r>
              <w:rPr/>
              <w:t>​</w:t>
            </w:r>
          </w:p>
        </w:tc>
        <w:tc>
          <w:tcPr>
            <w:tcW w:w="285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bookmarkStart w:id="1069" w:name="_Hlk225480403"/>
            <w:bookmarkEnd w:id="1069"/>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OAKTREE-FORREST MULTI-STRATEGY, LLC</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1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81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11"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95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11"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95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4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18" w:type="dxa"/>
        <w:jc w:val="left"/>
        <w:tblInd w:w="0" w:type="dxa"/>
        <w:tblLayout w:type="fixed"/>
        <w:tblCellMar>
          <w:top w:w="0" w:type="dxa"/>
          <w:left w:w="0" w:type="dxa"/>
          <w:bottom w:w="0" w:type="dxa"/>
          <w:right w:w="0" w:type="dxa"/>
        </w:tblCellMar>
      </w:tblPr>
      <w:tblGrid>
        <w:gridCol w:w="124"/>
        <w:gridCol w:w="692"/>
        <w:gridCol w:w="1076"/>
        <w:gridCol w:w="3226"/>
      </w:tblGrid>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32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OAKTREE-TBMR STRATEGIC CREDIT FUND C, LLC</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3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10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10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Oaktreeagency@alterdomus.com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AmKumar@oaktreecapital.com</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99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blauta@sullcrom.com </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03" w:type="dxa"/>
        <w:jc w:val="left"/>
        <w:tblInd w:w="0" w:type="dxa"/>
        <w:tblLayout w:type="fixed"/>
        <w:tblCellMar>
          <w:top w:w="0" w:type="dxa"/>
          <w:left w:w="0" w:type="dxa"/>
          <w:bottom w:w="0" w:type="dxa"/>
          <w:right w:w="0" w:type="dxa"/>
        </w:tblCellMar>
      </w:tblPr>
      <w:tblGrid>
        <w:gridCol w:w="124"/>
        <w:gridCol w:w="690"/>
        <w:gridCol w:w="1073"/>
        <w:gridCol w:w="3216"/>
      </w:tblGrid>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pPr>
            <w:r>
              <w:rPr/>
              <w:t>​</w:t>
            </w:r>
          </w:p>
        </w:tc>
        <w:tc>
          <w:tcPr>
            <w:tcW w:w="32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OAKTREE-TBMR STRATEGIC CREDIT FUND F, LLC</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8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28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8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7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8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7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Oaktreeagency@alterdomus.com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AmKumar@oaktreecapital.com</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9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blauta@sullcrom.com </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33" w:type="dxa"/>
        <w:jc w:val="left"/>
        <w:tblInd w:w="0" w:type="dxa"/>
        <w:tblLayout w:type="fixed"/>
        <w:tblCellMar>
          <w:top w:w="0" w:type="dxa"/>
          <w:left w:w="0" w:type="dxa"/>
          <w:bottom w:w="0" w:type="dxa"/>
          <w:right w:w="0" w:type="dxa"/>
        </w:tblCellMar>
      </w:tblPr>
      <w:tblGrid>
        <w:gridCol w:w="124"/>
        <w:gridCol w:w="694"/>
        <w:gridCol w:w="1079"/>
        <w:gridCol w:w="3236"/>
      </w:tblGrid>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left"/>
              <w:rPr/>
            </w:pPr>
            <w:r>
              <w:rPr/>
              <w:t>​</w:t>
            </w:r>
          </w:p>
        </w:tc>
        <w:tc>
          <w:tcPr>
            <w:tcW w:w="323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OAKTREE-TBMR STRATEGIC CREDIT FUND G, LLC</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3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1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c>
          <w:tcPr>
            <w:tcW w:w="107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1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c>
          <w:tcPr>
            <w:tcW w:w="107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Oaktreeagency@alterdomus.com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AmKumar@oaktreecapital.com</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500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blauta@sullcrom.com </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413" w:type="dxa"/>
        <w:jc w:val="left"/>
        <w:tblInd w:w="0" w:type="dxa"/>
        <w:tblLayout w:type="fixed"/>
        <w:tblCellMar>
          <w:top w:w="0" w:type="dxa"/>
          <w:left w:w="0" w:type="dxa"/>
          <w:bottom w:w="0" w:type="dxa"/>
          <w:right w:w="0" w:type="dxa"/>
        </w:tblCellMar>
      </w:tblPr>
      <w:tblGrid>
        <w:gridCol w:w="124"/>
        <w:gridCol w:w="594"/>
        <w:gridCol w:w="924"/>
        <w:gridCol w:w="2771"/>
      </w:tblGrid>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27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OAKTREE-TSE 16 STRATEGIC CREDIT, LLC</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9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9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Oaktreeagency@alterdomus.com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AmKumar@oaktreecapital.com</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398" w:type="dxa"/>
        <w:jc w:val="left"/>
        <w:tblInd w:w="0" w:type="dxa"/>
        <w:tblLayout w:type="fixed"/>
        <w:tblCellMar>
          <w:top w:w="0" w:type="dxa"/>
          <w:left w:w="0" w:type="dxa"/>
          <w:bottom w:w="0" w:type="dxa"/>
          <w:right w:w="0" w:type="dxa"/>
        </w:tblCellMar>
      </w:tblPr>
      <w:tblGrid>
        <w:gridCol w:w="124"/>
        <w:gridCol w:w="592"/>
        <w:gridCol w:w="921"/>
        <w:gridCol w:w="2761"/>
      </w:tblGrid>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c>
          <w:tcPr>
            <w:tcW w:w="27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INPRS STRATEGIC CREDIT HOLDINGS, LLC</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6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8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pPr>
            <w:r>
              <w:rPr/>
              <w:t>​</w:t>
            </w:r>
          </w:p>
        </w:tc>
        <w:tc>
          <w:tcPr>
            <w:tcW w:w="9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8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pPr>
            <w:r>
              <w:rPr/>
              <w:t>​</w:t>
            </w:r>
          </w:p>
        </w:tc>
        <w:tc>
          <w:tcPr>
            <w:tcW w:w="9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blauta@sullcrom.com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849" w:type="dxa"/>
        <w:jc w:val="left"/>
        <w:tblInd w:w="0" w:type="dxa"/>
        <w:tblLayout w:type="fixed"/>
        <w:tblCellMar>
          <w:top w:w="0" w:type="dxa"/>
          <w:left w:w="0" w:type="dxa"/>
          <w:bottom w:w="0" w:type="dxa"/>
          <w:right w:w="0" w:type="dxa"/>
        </w:tblCellMar>
      </w:tblPr>
      <w:tblGrid>
        <w:gridCol w:w="124"/>
        <w:gridCol w:w="655"/>
        <w:gridCol w:w="1018"/>
        <w:gridCol w:w="3052"/>
      </w:tblGrid>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pPr>
            <w:r>
              <w:rPr/>
              <w:t>​</w:t>
            </w:r>
          </w:p>
        </w:tc>
        <w:tc>
          <w:tcPr>
            <w:tcW w:w="305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 SPECIALTY LENDING CORPORATION</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Fund Advisors, LLC</w:t>
            </w:r>
          </w:p>
        </w:tc>
      </w:tr>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Adviser</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7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101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7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101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0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Oaktreeagency@alterdomus.com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72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blauta@sullcrom.com </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799" w:type="dxa"/>
        <w:jc w:val="left"/>
        <w:tblInd w:w="0" w:type="dxa"/>
        <w:tblLayout w:type="fixed"/>
        <w:tblCellMar>
          <w:top w:w="0" w:type="dxa"/>
          <w:left w:w="0" w:type="dxa"/>
          <w:bottom w:w="0" w:type="dxa"/>
          <w:right w:w="0" w:type="dxa"/>
        </w:tblCellMar>
      </w:tblPr>
      <w:tblGrid>
        <w:gridCol w:w="124"/>
        <w:gridCol w:w="509"/>
        <w:gridCol w:w="792"/>
        <w:gridCol w:w="2374"/>
      </w:tblGrid>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237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 STRATEGIC CREDIT FUND</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Fund Advisors, LLC</w:t>
            </w:r>
          </w:p>
        </w:tc>
      </w:tr>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16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Adviser</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79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7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79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7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968" w:type="dxa"/>
        <w:jc w:val="left"/>
        <w:tblInd w:w="0" w:type="dxa"/>
        <w:tblLayout w:type="fixed"/>
        <w:tblCellMar>
          <w:top w:w="0" w:type="dxa"/>
          <w:left w:w="0" w:type="dxa"/>
          <w:bottom w:w="0" w:type="dxa"/>
          <w:right w:w="0" w:type="dxa"/>
        </w:tblCellMar>
      </w:tblPr>
      <w:tblGrid>
        <w:gridCol w:w="124"/>
        <w:gridCol w:w="671"/>
        <w:gridCol w:w="1044"/>
        <w:gridCol w:w="3129"/>
      </w:tblGrid>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left"/>
              <w:rPr/>
            </w:pPr>
            <w:r>
              <w:rPr/>
              <w:t>​</w:t>
            </w:r>
          </w:p>
        </w:tc>
        <w:tc>
          <w:tcPr>
            <w:tcW w:w="312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 GCP FUND DELAWARE HOLDINGS, L.P.</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7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Global Credit Plus Fund GP, L.P.</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17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7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Global Credit Plus Fund GP Ltd.</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17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7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17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7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c>
          <w:tcPr>
            <w:tcW w:w="104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2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7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c>
          <w:tcPr>
            <w:tcW w:w="104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2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84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413" w:type="dxa"/>
        <w:jc w:val="left"/>
        <w:tblInd w:w="0" w:type="dxa"/>
        <w:tblLayout w:type="fixed"/>
        <w:tblCellMar>
          <w:top w:w="0" w:type="dxa"/>
          <w:left w:w="0" w:type="dxa"/>
          <w:bottom w:w="0" w:type="dxa"/>
          <w:right w:w="0" w:type="dxa"/>
        </w:tblCellMar>
      </w:tblPr>
      <w:tblGrid>
        <w:gridCol w:w="124"/>
        <w:gridCol w:w="594"/>
        <w:gridCol w:w="924"/>
        <w:gridCol w:w="2771"/>
      </w:tblGrid>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27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 DIVERSIFIED INCOME FUND INC.</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Fund Advisors, LLC</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Adviser</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9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9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2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99" w:type="dxa"/>
        <w:jc w:val="left"/>
        <w:tblInd w:w="0" w:type="dxa"/>
        <w:tblLayout w:type="fixed"/>
        <w:tblCellMar>
          <w:top w:w="0" w:type="dxa"/>
          <w:left w:w="0" w:type="dxa"/>
          <w:bottom w:w="0" w:type="dxa"/>
          <w:right w:w="0" w:type="dxa"/>
        </w:tblCellMar>
      </w:tblPr>
      <w:tblGrid>
        <w:gridCol w:w="124"/>
        <w:gridCol w:w="631"/>
        <w:gridCol w:w="981"/>
        <w:gridCol w:w="2963"/>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296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 AZ STRATEGIC LENDING FUND, L.P.</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4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AZ Strategic Lending Fund GP, L.P.</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94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4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Fund GP IIA, LLC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94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944"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4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Fund GP II, L.P.</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94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4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6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4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6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774" w:type="dxa"/>
        <w:jc w:val="left"/>
        <w:tblInd w:w="0" w:type="dxa"/>
        <w:tblLayout w:type="fixed"/>
        <w:tblCellMar>
          <w:top w:w="0" w:type="dxa"/>
          <w:left w:w="0" w:type="dxa"/>
          <w:bottom w:w="0" w:type="dxa"/>
          <w:right w:w="0" w:type="dxa"/>
        </w:tblCellMar>
      </w:tblPr>
      <w:tblGrid>
        <w:gridCol w:w="124"/>
        <w:gridCol w:w="748"/>
        <w:gridCol w:w="1163"/>
        <w:gridCol w:w="2739"/>
      </w:tblGrid>
      <w:tr>
        <w:trPr/>
        <w:tc>
          <w:tcPr>
            <w:tcW w:w="1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c>
          <w:tcPr>
            <w:tcW w:w="273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 LSL FUND HOLDINGS EURRC S.À R.L.</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26A, boulevard Royal L-2449</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Luxembourg, Grand Duchy of Luxembourg</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R.C.S Luxembourg Number: B269245</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0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Eckel</w:t>
            </w:r>
          </w:p>
        </w:tc>
      </w:tr>
      <w:tr>
        <w:trPr/>
        <w:tc>
          <w:tcPr>
            <w:tcW w:w="1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c>
          <w:tcPr>
            <w:tcW w:w="116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3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Eckel</w:t>
            </w:r>
          </w:p>
        </w:tc>
      </w:tr>
      <w:tr>
        <w:trPr/>
        <w:tc>
          <w:tcPr>
            <w:tcW w:w="1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0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Flora Verrecchia</w:t>
            </w:r>
          </w:p>
        </w:tc>
      </w:tr>
      <w:tr>
        <w:trPr/>
        <w:tc>
          <w:tcPr>
            <w:tcW w:w="1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c>
          <w:tcPr>
            <w:tcW w:w="116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3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Flora Verrecchia</w:t>
            </w:r>
          </w:p>
        </w:tc>
      </w:tr>
      <w:tr>
        <w:trPr/>
        <w:tc>
          <w:tcPr>
            <w:tcW w:w="124"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46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659" w:type="dxa"/>
        <w:jc w:val="left"/>
        <w:tblInd w:w="0" w:type="dxa"/>
        <w:tblLayout w:type="fixed"/>
        <w:tblCellMar>
          <w:top w:w="0" w:type="dxa"/>
          <w:left w:w="0" w:type="dxa"/>
          <w:bottom w:w="0" w:type="dxa"/>
          <w:right w:w="0" w:type="dxa"/>
        </w:tblCellMar>
      </w:tblPr>
      <w:tblGrid>
        <w:gridCol w:w="124"/>
        <w:gridCol w:w="767"/>
        <w:gridCol w:w="1193"/>
        <w:gridCol w:w="3575"/>
      </w:tblGrid>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35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OAKTREE LSL FUND DELAWARE HOLDINGS EURRC, L.P.</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6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Life Sciences Lending Fund GP, L.P.</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76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6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Life Sciences Lending Fund GP Ltd.</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76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4768"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6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476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68"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Gallegly</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119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57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Gallegly</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68"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Jessica Dombroff</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119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57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Jessica Dombroff</w:t>
            </w:r>
          </w:p>
        </w:tc>
      </w:tr>
      <w:tr>
        <w:trPr/>
        <w:tc>
          <w:tcPr>
            <w:tcW w:w="124"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Fund Administration, LLC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Oaktree Agency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Oaktreeagency@alterdomus.com</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Oaktree Capital Management, L.P.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333 S. Grand Avenue, 28</w:t>
            </w:r>
            <w:r>
              <w:rPr>
                <w:rFonts w:ascii="Times New Roman;Times;serif" w:hAnsi="Times New Roman;Times;serif"/>
                <w:sz w:val="15"/>
              </w:rPr>
              <w:t>th</w:t>
            </w:r>
            <w:r>
              <w:rPr>
                <w:rFonts w:ascii="Times New Roman;Times;serif" w:hAnsi="Times New Roman;Times;serif"/>
                <w:sz w:val="20"/>
              </w:rPr>
              <w:t xml:space="preserve"> Fl.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Los Angeles, CA 90071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Aman Kumar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AmKumar@oaktreecapital.com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a copy to: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Sullivan &amp; Cromwell LLP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125 Broad Street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NY 10004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Attn: Ari B. Blaut </w:t>
            </w:r>
          </w:p>
        </w:tc>
      </w:tr>
      <w:tr>
        <w:trPr/>
        <w:tc>
          <w:tcPr>
            <w:tcW w:w="124" w:type="dxa"/>
            <w:tcBorders/>
            <w:vAlign w:val="center"/>
          </w:tcPr>
          <w:p>
            <w:pPr>
              <w:pStyle w:val="TableContents"/>
              <w:bidi w:val="0"/>
              <w:spacing w:before="0" w:after="0"/>
              <w:ind w:left="0" w:right="0" w:hanging="0"/>
              <w:jc w:val="left"/>
              <w:rPr/>
            </w:pPr>
            <w:r>
              <w:rPr/>
              <w:t>​</w:t>
            </w:r>
          </w:p>
        </w:tc>
        <w:tc>
          <w:tcPr>
            <w:tcW w:w="553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blauta@sullcrom.com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74" w:type="dxa"/>
        <w:jc w:val="left"/>
        <w:tblInd w:w="0" w:type="dxa"/>
        <w:tblLayout w:type="fixed"/>
        <w:tblCellMar>
          <w:top w:w="0" w:type="dxa"/>
          <w:left w:w="0" w:type="dxa"/>
          <w:bottom w:w="0" w:type="dxa"/>
          <w:right w:w="0" w:type="dxa"/>
        </w:tblCellMar>
      </w:tblPr>
      <w:tblGrid>
        <w:gridCol w:w="124"/>
        <w:gridCol w:w="569"/>
        <w:gridCol w:w="436"/>
        <w:gridCol w:w="447"/>
        <w:gridCol w:w="3798"/>
      </w:tblGrid>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883" w:type="dxa"/>
            <w:gridSpan w:val="2"/>
            <w:tcBorders/>
            <w:vAlign w:val="center"/>
          </w:tcPr>
          <w:p>
            <w:pPr>
              <w:pStyle w:val="TableContents"/>
              <w:bidi w:val="0"/>
              <w:spacing w:before="0" w:after="0"/>
              <w:ind w:left="0" w:right="0" w:hanging="0"/>
              <w:jc w:val="left"/>
              <w:rPr/>
            </w:pPr>
            <w:r>
              <w:rPr/>
              <w:t>​</w:t>
            </w:r>
          </w:p>
        </w:tc>
        <w:tc>
          <w:tcPr>
            <w:tcW w:w="379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 BOOST HOLDING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81"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Ahmed Nasser Al-Abdulghani</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883"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9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Ahmed Nasser Al-Abdulghani</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88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 Qatar Investment Authority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Ooredoo Tower (Building 14)</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 Dafna Street (Street 801)</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 Dafna (Zone 61) Doha, Qatar</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copy (which shall not constitute notice) shall also be sent to:</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Qatar Investment Authority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Ooredoo Tower (Building 14)</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 Dafna Street (Street 801)</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 Dafna (Zone 61)</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Doha, Qatar</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notices.legal@qia.qa</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copy (which shall not constitute notice) shall also be sent to:</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Alley Overy Shearman Sterling US LLP</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535 Mission Street, 25</w:t>
            </w:r>
            <w:r>
              <w:rPr>
                <w:rFonts w:ascii="Times New Roman;Times;serif" w:hAnsi="Times New Roman;Times;serif"/>
                <w:sz w:val="15"/>
              </w:rPr>
              <w:t>th</w:t>
            </w:r>
            <w:r>
              <w:rPr>
                <w:rFonts w:ascii="Times New Roman;Times;serif" w:hAnsi="Times New Roman;Times;serif"/>
                <w:sz w:val="20"/>
              </w:rPr>
              <w:t xml:space="preserve"> Floor</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Francisco, CA 94105</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Attn: Michael S. Dorf</w:t>
            </w:r>
          </w:p>
        </w:tc>
      </w:tr>
      <w:tr>
        <w:trPr/>
        <w:tc>
          <w:tcPr>
            <w:tcW w:w="124"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left"/>
              <w:rPr/>
            </w:pPr>
            <w:r>
              <w:rPr/>
              <w:t>​</w:t>
            </w:r>
          </w:p>
        </w:tc>
        <w:tc>
          <w:tcPr>
            <w:tcW w:w="42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Gordon Mak</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Email:mdorf@aoshearman.com</w:t>
            </w:r>
          </w:p>
        </w:tc>
      </w:tr>
      <w:tr>
        <w:trPr/>
        <w:tc>
          <w:tcPr>
            <w:tcW w:w="124"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left"/>
              <w:rPr/>
            </w:pPr>
            <w:r>
              <w:rPr/>
              <w:t>​</w:t>
            </w:r>
          </w:p>
        </w:tc>
        <w:tc>
          <w:tcPr>
            <w:tcW w:w="42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gordon.mak@ aoshearman.com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Ninth Amendment to Credit Agreement and Guaranty</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BIOXCEL THERAPEUTICS, INC. COMMON STOCK WARRANT</w:t>
      </w:r>
    </w:p>
    <w:p>
      <w:pPr>
        <w:pStyle w:val="TextBody"/>
        <w:bidi w:val="0"/>
        <w:spacing w:before="0" w:after="20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NEITHER THIS WARRANT NOR THE SECURITIES ISSUABLE UPON ITS EXERCISE OR CONVERSION HAVE BEEN REGISTERED UNDER THE SECURITIES ACT OF 1933, AS AMENDED (THE “SECURITIES ACT”</w:t>
      </w:r>
      <w:r>
        <w:rPr>
          <w:rFonts w:ascii="Times New Roman;Times;serif" w:hAnsi="Times New Roman;Times;serif"/>
          <w:sz w:val="20"/>
        </w:rPr>
        <w:t>),  </w:t>
      </w:r>
      <w:r>
        <w:rPr>
          <w:rFonts w:ascii="Times New Roman;Times;serif" w:hAnsi="Times New Roman;Times;serif"/>
          <w:b/>
          <w:sz w:val="20"/>
        </w:rPr>
        <w:t>OR ANY APPLICABLE STATE SECURITIES LAW AND MAY NOT BE TRANSFERRED EXCEPT (I) IN ACCORDANCE WITH THE SECURITIES ACT OR SUCH APPLICABLE STATE SECURITIES LAWS, PURSUANT TO REGISTRATION OR EXEMPTION THEREFROM, OR (II) WHERE, IN THE OPINION OF COUNSEL, REGISTRATION UNDER THE SECURITIES ACTS OR SUCH APPLICABLE STATE SECURITIES LAWS IS NOT REQUIRED IN CONNECTION WITH SUCH PROPOSED TRANSFER.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w:t>
      </w:r>
      <w:r>
        <w:rPr>
          <w:rFonts w:ascii="Times New Roman;Times;serif" w:hAnsi="Times New Roman;Times;serif"/>
          <w:b/>
          <w:i/>
          <w:sz w:val="20"/>
        </w:rPr>
        <w:t># of shares</w:t>
      </w:r>
      <w:r>
        <w:rPr>
          <w:rFonts w:ascii="Times New Roman;Times;serif" w:hAnsi="Times New Roman;Times;serif"/>
          <w:b/>
          <w:sz w:val="20"/>
        </w:rPr>
        <w:t>] Shares of Company Common Stock No. [</w:t>
      </w:r>
      <w:r>
        <w:rPr>
          <w:rFonts w:ascii="Times New Roman;Times;serif" w:hAnsi="Times New Roman;Times;serif"/>
          <w:b/>
          <w:i/>
          <w:sz w:val="20"/>
        </w:rPr>
        <w:t>warrant #</w:t>
      </w:r>
      <w:r>
        <w:rPr>
          <w:rFonts w:ascii="Times New Roman;Times;serif" w:hAnsi="Times New Roman;Times;serif"/>
          <w:b/>
          <w:sz w:val="20"/>
        </w:rPr>
        <w:t>] WARRANT</w:t>
      </w:r>
    </w:p>
    <w:p>
      <w:pPr>
        <w:pStyle w:val="TextBody"/>
        <w:bidi w:val="0"/>
        <w:spacing w:before="0" w:after="200"/>
        <w:ind w:left="120" w:right="0" w:firstLine="1440"/>
        <w:jc w:val="both"/>
        <w:rPr>
          <w:rFonts w:ascii="Times New Roman;Times;serif" w:hAnsi="Times New Roman;Times;serif"/>
          <w:sz w:val="20"/>
        </w:rPr>
      </w:pPr>
      <w:r>
        <w:rPr>
          <w:rFonts w:ascii="Times New Roman;Times;serif" w:hAnsi="Times New Roman;Times;serif"/>
          <w:sz w:val="20"/>
        </w:rPr>
        <w:t>This WARRANT (this “</w:t>
      </w:r>
      <w:r>
        <w:rPr>
          <w:rFonts w:ascii="Times New Roman;Times;serif" w:hAnsi="Times New Roman;Times;serif"/>
          <w:b/>
          <w:sz w:val="20"/>
        </w:rPr>
        <w:t>Warrant</w:t>
      </w:r>
      <w:r>
        <w:rPr>
          <w:rFonts w:ascii="Times New Roman;Times;serif" w:hAnsi="Times New Roman;Times;serif"/>
          <w:sz w:val="20"/>
        </w:rPr>
        <w:t>”) is issued as of [•], 2026 (the “</w:t>
      </w:r>
      <w:r>
        <w:rPr>
          <w:rFonts w:ascii="Times New Roman;Times;serif" w:hAnsi="Times New Roman;Times;serif"/>
          <w:b/>
          <w:sz w:val="20"/>
        </w:rPr>
        <w:t>Initial Issuance Date</w:t>
      </w:r>
      <w:r>
        <w:rPr>
          <w:rFonts w:ascii="Times New Roman;Times;serif" w:hAnsi="Times New Roman;Times;serif"/>
          <w:sz w:val="20"/>
        </w:rPr>
        <w:t>”), by BIOXCEL THERAPEUTICS, INC., a Delaware corporation (the “</w:t>
      </w:r>
      <w:r>
        <w:rPr>
          <w:rFonts w:ascii="Times New Roman;Times;serif" w:hAnsi="Times New Roman;Times;serif"/>
          <w:b/>
          <w:sz w:val="20"/>
        </w:rPr>
        <w:t>Company</w:t>
      </w:r>
      <w:r>
        <w:rPr>
          <w:rFonts w:ascii="Times New Roman;Times;serif" w:hAnsi="Times New Roman;Times;serif"/>
          <w:sz w:val="20"/>
        </w:rPr>
        <w:t>”), to [</w:t>
      </w:r>
      <w:r>
        <w:rPr>
          <w:rFonts w:ascii="Times New Roman;Times;serif" w:hAnsi="Times New Roman;Times;serif"/>
          <w:i/>
          <w:sz w:val="20"/>
        </w:rPr>
        <w:t>name of purchaser</w:t>
      </w:r>
      <w:r>
        <w:rPr>
          <w:rFonts w:ascii="Times New Roman;Times;serif" w:hAnsi="Times New Roman;Times;serif"/>
          <w:sz w:val="20"/>
        </w:rPr>
        <w:t>], a [</w:t>
      </w:r>
      <w:r>
        <w:rPr>
          <w:rFonts w:ascii="Times New Roman;Times;serif" w:hAnsi="Times New Roman;Times;serif"/>
          <w:i/>
          <w:sz w:val="20"/>
        </w:rPr>
        <w:t>jurisdiction of organization</w:t>
      </w:r>
      <w:r>
        <w:rPr>
          <w:rFonts w:ascii="Times New Roman;Times;serif" w:hAnsi="Times New Roman;Times;serif"/>
          <w:sz w:val="20"/>
        </w:rPr>
        <w:t>] [</w:t>
      </w:r>
      <w:r>
        <w:rPr>
          <w:rFonts w:ascii="Times New Roman;Times;serif" w:hAnsi="Times New Roman;Times;serif"/>
          <w:i/>
          <w:sz w:val="20"/>
        </w:rPr>
        <w:t>entity type</w:t>
      </w:r>
      <w:r>
        <w:rPr>
          <w:rFonts w:ascii="Times New Roman;Times;serif" w:hAnsi="Times New Roman;Times;serif"/>
          <w:sz w:val="20"/>
        </w:rPr>
        <w:t>] (“</w:t>
      </w:r>
      <w:r>
        <w:rPr>
          <w:rFonts w:ascii="Times New Roman;Times;serif" w:hAnsi="Times New Roman;Times;serif"/>
          <w:b/>
          <w:sz w:val="20"/>
        </w:rPr>
        <w:t>Purchaser</w:t>
      </w:r>
      <w:r>
        <w:rPr>
          <w:rFonts w:ascii="Times New Roman;Times;serif" w:hAnsi="Times New Roman;Times;serif"/>
          <w:sz w:val="20"/>
        </w:rPr>
        <w:t>” and, together with any assignee(s) or transferee(s), “</w:t>
      </w:r>
      <w:r>
        <w:rPr>
          <w:rFonts w:ascii="Times New Roman;Times;serif" w:hAnsi="Times New Roman;Times;serif"/>
          <w:b/>
          <w:sz w:val="20"/>
        </w:rPr>
        <w:t>Holder</w:t>
      </w:r>
      <w:r>
        <w:rPr>
          <w:rFonts w:ascii="Times New Roman;Times;serif" w:hAnsi="Times New Roman;Times;serif"/>
          <w:sz w:val="20"/>
        </w:rPr>
        <w:t>” or “</w:t>
      </w:r>
      <w:r>
        <w:rPr>
          <w:rFonts w:ascii="Times New Roman;Times;serif" w:hAnsi="Times New Roman;Times;serif"/>
          <w:b/>
          <w:sz w:val="20"/>
        </w:rPr>
        <w:t>Holders</w:t>
      </w:r>
      <w:r>
        <w:rPr>
          <w:rFonts w:ascii="Times New Roman;Times;serif" w:hAnsi="Times New Roman;Times;serif"/>
          <w:sz w:val="20"/>
        </w:rPr>
        <w:t>”).</w:t>
      </w:r>
    </w:p>
    <w:p>
      <w:pPr>
        <w:pStyle w:val="TextBody"/>
        <w:bidi w:val="0"/>
        <w:spacing w:before="0" w:after="200"/>
        <w:ind w:left="120" w:right="0" w:firstLine="144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certain subsidiaries of the Company as guarantors, the Purchaser as lender and the other lenders party thereto are parties to that certain Credit Agreement and Guaranty, dated as of April 19, 2022, and amended as of November 13, 2023, December 5, 2023, February 12, 2024, March 20, 2024, November 21, 2024, December 6, 2024, March 4, 2025, March 12, 2025, April 22, 2025 and March 27, 2026 (as amended, restated, supplemented or otherwise modified from time to time, the “</w:t>
      </w:r>
      <w:r>
        <w:rPr>
          <w:rFonts w:ascii="Times New Roman;Times;serif" w:hAnsi="Times New Roman;Times;serif"/>
          <w:b/>
          <w:sz w:val="20"/>
        </w:rPr>
        <w:t>Credit Agreement</w:t>
      </w:r>
      <w:r>
        <w:rPr>
          <w:rFonts w:ascii="Times New Roman;Times;serif" w:hAnsi="Times New Roman;Times;serif"/>
          <w:sz w:val="20"/>
        </w:rPr>
        <w:t>”), pursuant to which the Company may borrow from Purchaser and the other lenders party thereto (collectively, the “</w:t>
      </w:r>
      <w:r>
        <w:rPr>
          <w:rFonts w:ascii="Times New Roman;Times;serif" w:hAnsi="Times New Roman;Times;serif"/>
          <w:b/>
          <w:sz w:val="20"/>
        </w:rPr>
        <w:t>Lenders</w:t>
      </w:r>
      <w:r>
        <w:rPr>
          <w:rFonts w:ascii="Times New Roman;Times;serif" w:hAnsi="Times New Roman;Times;serif"/>
          <w:sz w:val="20"/>
        </w:rPr>
        <w:t>”), and the Lenders may loan to the Company, up to $202,319,447 from the date of the Credit Agreement through the Maturity Date; and</w:t>
      </w:r>
    </w:p>
    <w:p>
      <w:pPr>
        <w:pStyle w:val="TextBody"/>
        <w:bidi w:val="0"/>
        <w:spacing w:before="0" w:after="200"/>
        <w:ind w:left="120" w:right="0" w:firstLine="144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is issuing this Warrant to Purchaser as required by that Ninth Amendment to Credit Agreement and Guaranty, dated as of [•], 2026, by and among the Company, Purchaser and the other parties thereto.</w:t>
      </w:r>
    </w:p>
    <w:p>
      <w:pPr>
        <w:pStyle w:val="TextBody"/>
        <w:bidi w:val="0"/>
        <w:spacing w:before="0" w:after="200"/>
        <w:ind w:left="120" w:right="0" w:firstLine="144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for good and valuable consideration, the receipt and sufficiency of which are hereby acknowledged, the Company and Purchaser agree as follows:</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 </w:t>
      </w:r>
      <w:r>
        <w:rPr>
          <w:rFonts w:ascii="Times New Roman;Times;serif" w:hAnsi="Times New Roman;Times;serif"/>
          <w:b/>
          <w:sz w:val="20"/>
        </w:rPr>
        <w:t>Definitions</w:t>
      </w:r>
      <w:r>
        <w:rPr>
          <w:rFonts w:ascii="Times New Roman;Times;serif" w:hAnsi="Times New Roman;Times;serif"/>
          <w:sz w:val="20"/>
        </w:rPr>
        <w:t>. Unless otherwise defined herein, capitalized terms have the meanings set forth in the Credit Agreement (as in effect on the date hereof), however, the following terms when used herein have the following meanings:</w:t>
      </w:r>
    </w:p>
    <w:p>
      <w:pPr>
        <w:pStyle w:val="TextBody"/>
        <w:bidi w:val="0"/>
        <w:spacing w:before="0" w:after="200"/>
        <w:ind w:left="0" w:right="0" w:firstLine="1440"/>
        <w:jc w:val="left"/>
        <w:rPr/>
      </w:pPr>
      <w:r>
        <w:rPr/>
        <w:t>“</w:t>
      </w:r>
      <w:r>
        <w:rPr>
          <w:rFonts w:ascii="Times New Roman;Times;serif" w:hAnsi="Times New Roman;Times;serif"/>
          <w:b/>
          <w:sz w:val="20"/>
        </w:rPr>
        <w:t>Aggregate Exercise Price</w:t>
      </w:r>
      <w:r>
        <w:rPr>
          <w:rFonts w:ascii="Times New Roman;Times;serif" w:hAnsi="Times New Roman;Times;serif"/>
          <w:sz w:val="20"/>
        </w:rPr>
        <w:t xml:space="preserve">” means, in connection with any Exercise of this Warrant pursuant to </w:t>
      </w:r>
      <w:r>
        <w:rPr>
          <w:rFonts w:ascii="Times New Roman;Times;serif" w:hAnsi="Times New Roman;Times;serif"/>
          <w:b/>
          <w:sz w:val="20"/>
        </w:rPr>
        <w:t>Section 4</w:t>
      </w:r>
      <w:r>
        <w:rPr>
          <w:rFonts w:ascii="Times New Roman;Times;serif" w:hAnsi="Times New Roman;Times;serif"/>
          <w:sz w:val="20"/>
        </w:rPr>
        <w:t xml:space="preserve"> (whether in whole or in part), an amount equal to the product of (i) the number of Underlying Shares in respect of which this Warrant is then being exercised pursuant to such </w:t>
      </w:r>
      <w:r>
        <w:rPr>
          <w:rFonts w:ascii="Times New Roman;Times;serif" w:hAnsi="Times New Roman;Times;serif"/>
          <w:b/>
          <w:sz w:val="20"/>
        </w:rPr>
        <w:t>Section 4</w:t>
      </w:r>
      <w:r>
        <w:rPr>
          <w:rFonts w:ascii="Times New Roman;Times;serif" w:hAnsi="Times New Roman;Times;serif"/>
          <w:sz w:val="20"/>
        </w:rPr>
        <w:t>, multiplied by (ii) the Exercise Price.</w:t>
      </w:r>
    </w:p>
    <w:p>
      <w:pPr>
        <w:pStyle w:val="TextBody"/>
        <w:bidi w:val="0"/>
        <w:spacing w:before="0" w:after="0"/>
        <w:ind w:left="120" w:right="0" w:firstLine="1440"/>
        <w:jc w:val="both"/>
        <w:rPr/>
      </w:pPr>
      <w:r>
        <w:rPr/>
        <w:t>“</w:t>
      </w:r>
      <w:r>
        <w:rPr>
          <w:rFonts w:ascii="Times New Roman;Times;serif" w:hAnsi="Times New Roman;Times;serif"/>
          <w:b/>
          <w:sz w:val="20"/>
        </w:rPr>
        <w:t>Fair Market Value</w:t>
      </w:r>
      <w:r>
        <w:rPr>
          <w:rFonts w:ascii="Times New Roman;Times;serif" w:hAnsi="Times New Roman;Times;serif"/>
          <w:sz w:val="20"/>
        </w:rPr>
        <w:t>” means, with respect to any security or other property, the fair market value of such security or other property as determined by the independent members of the Board of Directors of the Company, acting in good faith. If the Holder objects in writing</w:t>
      </w:r>
    </w:p>
    <w:p>
      <w:pPr>
        <w:pStyle w:val="TextBody"/>
        <w:bidi w:val="0"/>
        <w:spacing w:before="0" w:after="0"/>
        <w:ind w:left="120" w:right="0" w:firstLine="144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20" w:right="0" w:hanging="0"/>
        <w:jc w:val="both"/>
        <w:rPr>
          <w:rFonts w:ascii="Times New Roman;Times;serif" w:hAnsi="Times New Roman;Times;serif"/>
          <w:sz w:val="20"/>
        </w:rPr>
      </w:pPr>
      <w:r>
        <w:rPr>
          <w:rFonts w:ascii="Times New Roman;Times;serif" w:hAnsi="Times New Roman;Times;serif"/>
          <w:sz w:val="20"/>
        </w:rPr>
        <w:t xml:space="preserve">to the Board of Directors’ calculation of Fair Market Value within ten (10) days of receipt of written notice thereof and the Holder and the Company are unable to agree on Fair Market Value during the five (5) day period following the delivery of the Holder’s objection, the valuation dispute resolution procedure set forth in </w:t>
      </w:r>
      <w:r>
        <w:rPr>
          <w:rFonts w:ascii="Times New Roman;Times;serif" w:hAnsi="Times New Roman;Times;serif"/>
          <w:b/>
          <w:sz w:val="20"/>
        </w:rPr>
        <w:t>Section 20</w:t>
      </w:r>
      <w:r>
        <w:rPr>
          <w:rFonts w:ascii="Times New Roman;Times;serif" w:hAnsi="Times New Roman;Times;serif"/>
          <w:sz w:val="20"/>
        </w:rPr>
        <w:t xml:space="preserve"> hereof shall be invoked to determine Fair Market Value.</w:t>
      </w:r>
    </w:p>
    <w:p>
      <w:pPr>
        <w:pStyle w:val="TextBody"/>
        <w:bidi w:val="0"/>
        <w:spacing w:before="0" w:after="200"/>
        <w:ind w:left="0" w:right="0" w:firstLine="1440"/>
        <w:jc w:val="both"/>
        <w:rPr/>
      </w:pPr>
      <w:r>
        <w:rPr/>
        <w:t>“</w:t>
      </w:r>
      <w:r>
        <w:rPr>
          <w:rFonts w:ascii="Times New Roman;Times;serif" w:hAnsi="Times New Roman;Times;serif"/>
          <w:b/>
          <w:sz w:val="20"/>
        </w:rPr>
        <w:t>Market Price</w:t>
      </w:r>
      <w:r>
        <w:rPr>
          <w:rFonts w:ascii="Times New Roman;Times;serif" w:hAnsi="Times New Roman;Times;serif"/>
          <w:sz w:val="20"/>
        </w:rPr>
        <w:t>” means, with respect to a particular security, on any given day, the last reported sale price, regular way, or, in case no such reported sale takes place on such day, the average of the closing bid and asked prices, regular way, in either case on the principal national securities exchange on which the applicable securities are listed or admitted to trading, or if not listed or admitted to trading on any national securities exchange, the last quoted bid price in the over-the-counter market as reported by Pink Sheets LLC or similar organization. “Market Price” shall be determined without reference to after hours or extended hours trading. If such security is not listed and traded in a manner that the quotations referred to above are available for the period required hereunder, the Market Price per share of Company Common Stock shall be deemed to be the fair market value per share of such security as determined in good faith by the independent members of the Board of Directors in reliance upon an opinion of an accounting firm of nationally recognized standing retained by the Company for this purpose and reasonably acceptable to the Holder (or if there is more than one Holder, a majority in interest of Holders excluding any Holder that is an Affiliate of the Company). For the purposes of determining the Market Price of the Company Common Stock on the Trading Day preceding, on or following the occurrence of an event, (i) that Trading Day shall be deemed to commence immediately after the regular scheduled closing time of trading on the Trading Market on which the Company Common Stock is listed or, if trading is closed at an earlier time, such earlier time and (ii)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pStyle w:val="TextBody"/>
        <w:bidi w:val="0"/>
        <w:spacing w:before="0" w:after="200"/>
        <w:ind w:left="0" w:right="0" w:firstLine="1440"/>
        <w:jc w:val="both"/>
        <w:rPr/>
      </w:pPr>
      <w:r>
        <w:rPr/>
        <w:t>“</w:t>
      </w:r>
      <w:r>
        <w:rPr>
          <w:rFonts w:ascii="Times New Roman;Times;serif" w:hAnsi="Times New Roman;Times;serif"/>
          <w:b/>
          <w:sz w:val="20"/>
        </w:rPr>
        <w:t>Trading Day</w:t>
      </w:r>
      <w:r>
        <w:rPr>
          <w:rFonts w:ascii="Times New Roman;Times;serif" w:hAnsi="Times New Roman;Times;serif"/>
          <w:sz w:val="20"/>
        </w:rPr>
        <w:t>” means a day on which the Company Common Stock is traded on a Trading Market or, if the Company Common Stock is not traded on a Trading Market, then on the principal securities exchange or securities market on which the Company Common Stock is then traded.</w:t>
      </w:r>
    </w:p>
    <w:p>
      <w:pPr>
        <w:pStyle w:val="TextBody"/>
        <w:bidi w:val="0"/>
        <w:spacing w:before="0" w:after="200"/>
        <w:ind w:left="0" w:right="0" w:firstLine="1440"/>
        <w:jc w:val="left"/>
        <w:rPr/>
      </w:pPr>
      <w:r>
        <w:rPr/>
        <w:t>“</w:t>
      </w:r>
      <w:r>
        <w:rPr>
          <w:rFonts w:ascii="Times New Roman;Times;serif" w:hAnsi="Times New Roman;Times;serif"/>
          <w:b/>
          <w:sz w:val="20"/>
        </w:rPr>
        <w:t>Trading Market</w:t>
      </w:r>
      <w:r>
        <w:rPr>
          <w:rFonts w:ascii="Times New Roman;Times;serif" w:hAnsi="Times New Roman;Times;serif"/>
          <w:sz w:val="20"/>
        </w:rPr>
        <w:t>” means any market or exchange of The Nasdaq Stock Market LLC or the New York Stock Exchange.</w:t>
      </w:r>
    </w:p>
    <w:p>
      <w:pPr>
        <w:pStyle w:val="TextBody"/>
        <w:bidi w:val="0"/>
        <w:spacing w:before="0" w:after="0"/>
        <w:ind w:left="0" w:right="0" w:firstLine="1440"/>
        <w:jc w:val="both"/>
        <w:rPr/>
      </w:pPr>
      <w:r>
        <w:rPr/>
        <w:t>“</w:t>
      </w:r>
      <w:r>
        <w:rPr>
          <w:rFonts w:ascii="Times New Roman;Times;serif" w:hAnsi="Times New Roman;Times;serif"/>
          <w:b/>
          <w:sz w:val="20"/>
        </w:rPr>
        <w:t>VWAP</w:t>
      </w:r>
      <w:r>
        <w:rPr>
          <w:rFonts w:ascii="Times New Roman;Times;serif" w:hAnsi="Times New Roman;Times;serif"/>
          <w:sz w:val="20"/>
        </w:rPr>
        <w:t>” means, for any date, the price determined by the first of the following clauses that applies: (i) if the Company Common Stock is then listed or quoted on a Trading Market, the daily volume weighted average price of the Company Common Stock for such date (or the nearest preceding date) on the Trading Market on which the Company Common Stock is then listed or quoted as reported by Bloomberg L.P. (based on a Trading Day from 9:30 a.m. (New York City time) to 4:00 p.m. (New York City time)), (ii) if the Company Common Stock is not then listed on a Trading Market or quoted for trading on the OTC Bulletin Board and if prices for the Company Common Stock are then reported in the “Pink Sheets” published by OTC Markets Group Inc. (or a similar organization or agency succeeding to its functions of</w:t>
      </w:r>
    </w:p>
    <w:p>
      <w:pPr>
        <w:pStyle w:val="TextBody"/>
        <w:bidi w:val="0"/>
        <w:spacing w:before="0" w:after="0"/>
        <w:ind w:left="12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20" w:right="0" w:hanging="0"/>
        <w:jc w:val="both"/>
        <w:rPr>
          <w:rFonts w:ascii="Times New Roman;Times;serif" w:hAnsi="Times New Roman;Times;serif"/>
          <w:sz w:val="20"/>
        </w:rPr>
      </w:pPr>
      <w:r>
        <w:rPr>
          <w:rFonts w:ascii="Times New Roman;Times;serif" w:hAnsi="Times New Roman;Times;serif"/>
          <w:sz w:val="20"/>
        </w:rPr>
        <w:t>reporting prices), the most recent bid price per share of the Company Common Stock so reported or (iii) in all other cases, the fair market value of a share of Company Common Stock as determined by an independent nationally recognized investment banking, accounting or valuation firm selected in good faith by the Company and reasonably acceptable to the Holder, the fees and expenses of which shall be paid by the Company.</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2. </w:t>
      </w:r>
      <w:r>
        <w:rPr>
          <w:rFonts w:ascii="Times New Roman;Times;serif" w:hAnsi="Times New Roman;Times;serif"/>
          <w:b/>
          <w:sz w:val="20"/>
        </w:rPr>
        <w:t>Issuance of Warrant; Term</w:t>
      </w:r>
      <w:r>
        <w:rPr>
          <w:rFonts w:ascii="Times New Roman;Times;serif" w:hAnsi="Times New Roman;Times;serif"/>
          <w:sz w:val="20"/>
        </w:rPr>
        <w:t>. For good and valuable consideration, the receipt and sufficiency of which are hereby acknowledged, the Company hereby grants to Holder the right to purchase from the Company [</w:t>
      </w:r>
      <w:r>
        <w:rPr>
          <w:rFonts w:ascii="Times New Roman;Times;serif" w:hAnsi="Times New Roman;Times;serif"/>
          <w:i/>
          <w:sz w:val="20"/>
        </w:rPr>
        <w:t># of shares</w:t>
      </w:r>
      <w:r>
        <w:rPr>
          <w:rFonts w:ascii="Times New Roman;Times;serif" w:hAnsi="Times New Roman;Times;serif"/>
          <w:sz w:val="20"/>
        </w:rPr>
        <w:t>] fully paid and nonassessable shares of the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Company’s voting common stock having a par value $0.001 per share (the “</w:t>
      </w:r>
      <w:r>
        <w:rPr>
          <w:rFonts w:ascii="Times New Roman;Times;serif" w:hAnsi="Times New Roman;Times;serif"/>
          <w:b/>
          <w:sz w:val="20"/>
        </w:rPr>
        <w:t>Company Common Stock</w:t>
      </w:r>
      <w:r>
        <w:rPr>
          <w:rFonts w:ascii="Times New Roman;Times;serif" w:hAnsi="Times New Roman;Times;serif"/>
          <w:sz w:val="20"/>
        </w:rPr>
        <w:t>”). The shares of Company Common Stock issuable upon exercise of this Warrant are hereinafter referred to as the “</w:t>
      </w:r>
      <w:r>
        <w:rPr>
          <w:rFonts w:ascii="Times New Roman;Times;serif" w:hAnsi="Times New Roman;Times;serif"/>
          <w:b/>
          <w:sz w:val="20"/>
        </w:rPr>
        <w:t>Underlying Shares</w:t>
      </w:r>
      <w:r>
        <w:rPr>
          <w:rFonts w:ascii="Times New Roman;Times;serif" w:hAnsi="Times New Roman;Times;serif"/>
          <w:sz w:val="20"/>
        </w:rPr>
        <w:t xml:space="preserve">.” This Warrant shall be exercisable at any time and from time to time, in whole or in part, during the period commencing on the date hereof and ending on [•] </w:t>
      </w:r>
      <w:r>
        <w:rPr>
          <w:rFonts w:ascii="Times New Roman;Times;serif" w:hAnsi="Times New Roman;Times;serif"/>
          <w:sz w:val="15"/>
        </w:rPr>
        <w:t>1</w:t>
      </w:r>
      <w:r>
        <w:rPr>
          <w:rFonts w:ascii="Times New Roman;Times;serif" w:hAnsi="Times New Roman;Times;serif"/>
          <w:sz w:val="20"/>
        </w:rPr>
        <w:t>, 2033 (the “</w:t>
      </w:r>
      <w:r>
        <w:rPr>
          <w:rFonts w:ascii="Times New Roman;Times;serif" w:hAnsi="Times New Roman;Times;serif"/>
          <w:b/>
          <w:sz w:val="20"/>
        </w:rPr>
        <w:t>Expiration Date</w:t>
      </w:r>
      <w:r>
        <w:rPr>
          <w:rFonts w:ascii="Times New Roman;Times;serif" w:hAnsi="Times New Roman;Times;serif"/>
          <w:sz w:val="20"/>
        </w:rPr>
        <w: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3. </w:t>
      </w:r>
      <w:r>
        <w:rPr>
          <w:rFonts w:ascii="Times New Roman;Times;serif" w:hAnsi="Times New Roman;Times;serif"/>
          <w:b/>
          <w:sz w:val="20"/>
        </w:rPr>
        <w:t>Exercise Price</w:t>
      </w:r>
      <w:r>
        <w:rPr>
          <w:rFonts w:ascii="Times New Roman;Times;serif" w:hAnsi="Times New Roman;Times;serif"/>
          <w:sz w:val="20"/>
        </w:rPr>
        <w:t>. The exercise price per share of Company Common Stock for which each Underlying Share may be purchased pursuant to this Warrant shall be $0.01 (the “</w:t>
      </w:r>
      <w:r>
        <w:rPr>
          <w:rFonts w:ascii="Times New Roman;Times;serif" w:hAnsi="Times New Roman;Times;serif"/>
          <w:b/>
          <w:sz w:val="20"/>
        </w:rPr>
        <w:t>Exercise Price</w:t>
      </w:r>
      <w:r>
        <w:rPr>
          <w:rFonts w:ascii="Times New Roman;Times;serif" w:hAnsi="Times New Roman;Times;serif"/>
          <w:sz w:val="20"/>
        </w:rPr>
        <w:t>”).</w:t>
      </w:r>
    </w:p>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sz w:val="20"/>
        </w:rPr>
        <w:t xml:space="preserve">Section 4. </w:t>
      </w:r>
      <w:r>
        <w:rPr>
          <w:rFonts w:ascii="Times New Roman;Times;serif" w:hAnsi="Times New Roman;Times;serif"/>
          <w:b/>
          <w:sz w:val="20"/>
        </w:rPr>
        <w:t>Exercise</w:t>
      </w:r>
      <w:r>
        <w:rPr>
          <w:rFonts w:ascii="Times New Roman;Times;serif" w:hAnsi="Times New Roman;Times;serif"/>
          <w:sz w:val="20"/>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(a)This Warrant may be exercised by the Holder hereof as to all or any portion of the Underlying Shares, upon delivery of written notice to the Company, together with this original Warrant and (x) payment to the Company of the Aggregate Exercise Price or (y) instruction to the Company to withhold a number of the Underlying Shares then issuable upon exercise of this Warrant with an aggregate value (determined on the basis of the average Market Price per share for the Company Common Stock on the last five Trading Days for such stock ended immediately prior to the applicable Exercise Date, as defined below) equal to such Aggregate Exercise Price (collectively, the “</w:t>
      </w:r>
      <w:r>
        <w:rPr>
          <w:rFonts w:ascii="Times New Roman;Times;serif" w:hAnsi="Times New Roman;Times;serif"/>
          <w:b/>
          <w:sz w:val="20"/>
        </w:rPr>
        <w:t>Exercise</w:t>
      </w:r>
      <w:r>
        <w:rPr>
          <w:rFonts w:ascii="Times New Roman;Times;serif" w:hAnsi="Times New Roman;Times;serif"/>
          <w:sz w:val="20"/>
        </w:rPr>
        <w:t>”, with the date of an Exercise being an “</w:t>
      </w:r>
      <w:r>
        <w:rPr>
          <w:rFonts w:ascii="Times New Roman;Times;serif" w:hAnsi="Times New Roman;Times;serif"/>
          <w:b/>
          <w:sz w:val="20"/>
        </w:rPr>
        <w:t>Exercise Date</w:t>
      </w:r>
      <w:r>
        <w:rPr>
          <w:rFonts w:ascii="Times New Roman;Times;serif" w:hAnsi="Times New Roman;Times;serif"/>
          <w:sz w:val="20"/>
        </w:rPr>
        <w:t>”). The Exercise Price (if paid pursuant to clause (x) above) shall be payable by delivery by the Holder of a certified or official bank check payable to the order of the Company or wire transfer of immediately available funds to an account designated by the Company. This Warrant shall be deemed to have been so exercised as of the applicable Exercise Date, and the Holder shall be entitled to receive the Underlying Shares issuable upon such Exercise and be treated for all purposes as the holder of record of the Underlying Shares as of such date. Upon the Exercise of this Warrant, the Company shall, within two (2) Business Days of the applicable Exercise Date (the “</w:t>
      </w:r>
      <w:r>
        <w:rPr>
          <w:rFonts w:ascii="Times New Roman;Times;serif" w:hAnsi="Times New Roman;Times;serif"/>
          <w:b/>
          <w:sz w:val="20"/>
        </w:rPr>
        <w:t>Underlying Share Delivery Date</w:t>
      </w:r>
      <w:r>
        <w:rPr>
          <w:rFonts w:ascii="Times New Roman;Times;serif" w:hAnsi="Times New Roman;Times;serif"/>
          <w:sz w:val="20"/>
        </w:rPr>
        <w:t xml:space="preserve">”), execute and deliver to the Holder of this Warrant (a) a statement confirming the total number of Underlying Shares for which this Warrant is being exercised, and (b) (i) if the Underlying Shares are issued in certificate form, a certificate or certificates for the number of Underlying Shares issuable upon such Exercise, or (ii) if the Underlying Shares are issued in uncertificated form, a written confirmation evidencing the book-entry registration of such Underlying Shares in the Holder’s name; </w:t>
      </w:r>
      <w:r>
        <w:rPr>
          <w:rFonts w:ascii="Times New Roman;Times;serif" w:hAnsi="Times New Roman;Times;serif"/>
          <w:sz w:val="20"/>
          <w:u w:val="single"/>
        </w:rPr>
        <w:t>provided</w:t>
      </w:r>
      <w:r>
        <w:rPr>
          <w:rFonts w:ascii="Times New Roman;Times;serif" w:hAnsi="Times New Roman;Times;serif"/>
          <w:sz w:val="20"/>
        </w:rPr>
        <w:t xml:space="preserve"> that if the Company fails to deliver to Holder such certificate or certificates (in the case of Underlying Shares issued in certificate form) or written confirmation (in the case of Underlying Shares issued in uncertificated form) by the Underlying Share Delivery Date, the Holder will have the right to rescind such</w:t>
      </w:r>
    </w:p>
    <w:p>
      <w:pPr>
        <w:pStyle w:val="TextBody"/>
        <w:bidi w:val="0"/>
        <w:spacing w:before="0" w:after="0"/>
        <w:ind w:left="0" w:right="0" w:hanging="0"/>
        <w:jc w:val="both"/>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NTD: To be 7 years from the date of issuance.</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Exercise. Any rescission by the Holder pursuant to this </w:t>
      </w:r>
      <w:r>
        <w:rPr>
          <w:rFonts w:ascii="Times New Roman;Times;serif" w:hAnsi="Times New Roman;Times;serif"/>
          <w:b/>
          <w:sz w:val="20"/>
        </w:rPr>
        <w:t>Section 4(a)</w:t>
      </w:r>
      <w:r>
        <w:rPr>
          <w:rFonts w:ascii="Times New Roman;Times;serif" w:hAnsi="Times New Roman;Times;serif"/>
          <w:sz w:val="20"/>
        </w:rPr>
        <w:t xml:space="preserve"> shall not affect any other remedies available to the Holder under applicable law or equity or pursuant to </w:t>
      </w:r>
      <w:r>
        <w:rPr>
          <w:rFonts w:ascii="Times New Roman;Times;serif" w:hAnsi="Times New Roman;Times;serif"/>
          <w:b/>
          <w:sz w:val="20"/>
        </w:rPr>
        <w:t>Section 14</w:t>
      </w:r>
      <w:r>
        <w:rPr>
          <w:rFonts w:ascii="Times New Roman;Times;serif" w:hAnsi="Times New Roman;Times;serif"/>
          <w:sz w:val="20"/>
        </w:rPr>
        <w:t xml:space="preserve"> hereof as a result of the Company’s failure to timely deliver the Underlying Shares. If this Warrant shall be exercised with respect to less than all of the Underlying Shares, the Company shall deliver a new Warrant covering the number of Underlying Shares in respect of which this Warrant shall not have been exercised, which new Warrant shall in all other respects be identical to this Warrant. The Company covenants and agrees that it will pay when due any and all state and federal issue taxes which may be payable in respect of the issuance of this Warrant or the issuance of any Underlying Shares upon exercise.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(b)In the event of any withholding of shares of Underlying Shares pursuant to </w:t>
      </w:r>
      <w:r>
        <w:rPr>
          <w:rFonts w:ascii="Times New Roman;Times;serif" w:hAnsi="Times New Roman;Times;serif"/>
          <w:b/>
          <w:sz w:val="20"/>
        </w:rPr>
        <w:t xml:space="preserve">Section 4(a)(y) </w:t>
      </w:r>
      <w:r>
        <w:rPr>
          <w:rFonts w:ascii="Times New Roman;Times;serif" w:hAnsi="Times New Roman;Times;serif"/>
          <w:sz w:val="20"/>
        </w:rPr>
        <w:t>above where the number of the Underlying Shares then issuable upon exercise of this Warrant with an aggregate value equal to the Aggregate Exercise Price is not a whole number, the number of the Underlying Shares withheld by the Company shall be rounded up to the nearest whole share, and the Company shall make a cash payment to the Holder (by delivery of a certified or official bank check or by wire transfer of immediately available funds) based on the incremental fraction of Underlying Shares being so withheld by the Company in an amount equal to the product of (x) such incremental fraction of Underlying Shares being so withheld or surrendered multiplied by (y) the value per share of Underlying Shares (determined on the basis of the average Market Price per share for the Company Common Stock on the last five Trading Days for such stock ended immediately prior to the applicable Exercise Date).</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(c)The Company shall not knowingly effect the exercise of this Warrant, and the Holder shall not have the right to exercise this Warrant to the extent that, after giving effect to such exercise, the Holder (together with such Person’s Affiliates) would beneficially own in excess of 4.99% (the “</w:t>
      </w:r>
      <w:r>
        <w:rPr>
          <w:rFonts w:ascii="Times New Roman;Times;serif" w:hAnsi="Times New Roman;Times;serif"/>
          <w:b/>
          <w:sz w:val="20"/>
        </w:rPr>
        <w:t>Maximum Percentage</w:t>
      </w:r>
      <w:r>
        <w:rPr>
          <w:rFonts w:ascii="Times New Roman;Times;serif" w:hAnsi="Times New Roman;Times;serif"/>
          <w:sz w:val="20"/>
        </w:rPr>
        <w:t>”) of the Company Common Stock outstanding immediately after giving effect to such exercise. For purposes of the foregoing sentence, the aggregate number of shares of Company Common Stock beneficially owned by such Person and its Affiliates shall include the number of shares of Company Common Stock issuable upon exercise of this Warrant with respect to which the determination of such sentence is being made, but shall exclude shares of Company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this Warrant, in determining the number of outstanding shares of Company Common Stock, a Holder of this Warrant may rely on the number of outstanding shares of Company Common Stock as reflected in the most recent of (1) the Company’s Form 10-K, Form 10-Q or other public filing with the Securities and Exchange Commission, as the case may be, (2) a more recent public announcement by the Company or (3) any other notice by the Company or its transfer agent setting forth the number of shares of Company Common Stock outstanding. Upon the written or oral request of a Holder, the Company shall, within five (5) Business Days, confirm to such Holder the number of shares of its Company Common Stock then outstanding. Furthermore, upon the written request of the</w:t>
      </w:r>
    </w:p>
    <w:p>
      <w:pPr>
        <w:pStyle w:val="TextBody"/>
        <w:bidi w:val="0"/>
        <w:spacing w:before="0" w:after="0"/>
        <w:ind w:left="0" w:right="0" w:firstLine="144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Company, a Holder shall confirm to the Company its then current beneficial ownership with respect to the Company’s Company Common Stock.</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5. </w:t>
      </w:r>
      <w:r>
        <w:rPr>
          <w:rFonts w:ascii="Times New Roman;Times;serif" w:hAnsi="Times New Roman;Times;serif"/>
          <w:b/>
          <w:sz w:val="20"/>
        </w:rPr>
        <w:t>No Fractional Shares</w:t>
      </w:r>
      <w:r>
        <w:rPr>
          <w:rFonts w:ascii="Times New Roman;Times;serif" w:hAnsi="Times New Roman;Times;serif"/>
          <w:sz w:val="20"/>
        </w:rPr>
        <w:t xml:space="preserve">. No fractional shares may be issued upon any exercise of this Warrant or as a consequence of any adjustment pursuant to </w:t>
      </w:r>
      <w:r>
        <w:rPr>
          <w:rFonts w:ascii="Times New Roman;Times;serif" w:hAnsi="Times New Roman;Times;serif"/>
          <w:b/>
          <w:sz w:val="20"/>
        </w:rPr>
        <w:t>Section 7</w:t>
      </w:r>
      <w:r>
        <w:rPr>
          <w:rFonts w:ascii="Times New Roman;Times;serif" w:hAnsi="Times New Roman;Times;serif"/>
          <w:sz w:val="20"/>
        </w:rPr>
        <w:t>, and any fractions shall be rounded upwards to the nearest whole number of shares. If upon any exercise or adjustment of this Warrant a fraction of a share results, the Company will pay to the Holder the cash value of any such fractional share, calculated on the basis of the Exercise Price.</w:t>
      </w:r>
    </w:p>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sz w:val="20"/>
        </w:rPr>
        <w:t xml:space="preserve">Section 6. </w:t>
      </w:r>
      <w:r>
        <w:rPr>
          <w:rFonts w:ascii="Times New Roman;Times;serif" w:hAnsi="Times New Roman;Times;serif"/>
          <w:b/>
          <w:sz w:val="20"/>
        </w:rPr>
        <w:t>Securities Laws</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(a)Holder acknowledges that the Underlying Shares are being offered and sold by the Company in accordance with Section 4(a)(2) of the Securities Act and that the Underlying Shares will constitute “restricted securities” as defined in Rule 144 under the Securities Act. Neither this Warrant nor the Underlying Shares have been registered under the Securities Act, or any state securities laws (“</w:t>
      </w:r>
      <w:r>
        <w:rPr>
          <w:rFonts w:ascii="Times New Roman;Times;serif" w:hAnsi="Times New Roman;Times;serif"/>
          <w:b/>
          <w:sz w:val="20"/>
        </w:rPr>
        <w:t>Blue Sky Laws</w:t>
      </w:r>
      <w:r>
        <w:rPr>
          <w:rFonts w:ascii="Times New Roman;Times;serif" w:hAnsi="Times New Roman;Times;serif"/>
          <w:sz w:val="20"/>
        </w:rPr>
        <w:t xml:space="preserve">”). This Warrant has been acquired for the Holder’s own account for investment purposes and not with a current view to distribution or resale and may not be sold or otherwise transferred (i) without an effective registration statement for such Warrant under the Securities Act and such applicable Blue Sky Laws, or (ii) unless Holder shall have delivered to the Company an opinion of counsel to the effect that the Warrant or such portion of the Warrant to be sold or transferred may be sold or transferred under an exemption from such registration; </w:t>
      </w:r>
      <w:r>
        <w:rPr>
          <w:rFonts w:ascii="Times New Roman;Times;serif" w:hAnsi="Times New Roman;Times;serif"/>
          <w:sz w:val="20"/>
          <w:u w:val="single"/>
        </w:rPr>
        <w:t>provided</w:t>
      </w:r>
      <w:r>
        <w:rPr>
          <w:rFonts w:ascii="Times New Roman;Times;serif" w:hAnsi="Times New Roman;Times;serif"/>
          <w:sz w:val="20"/>
        </w:rPr>
        <w:t>, that the foregoing conditions shall not apply to any transfer of this Warrant from Purchaser to (i) any Affiliate, managed fund or account of Oaktree Capital Management, L.P. or (ii) an Affiliate of Qatar Investment Authority.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(b)The Company covenants and agrees that all Underlying Shares will, upon issuance and payment therefor, be legally and validly issued and outstanding, free from all taxes, liens, charges and preemptive or similar rights, if any, with respect thereto or to the issuance thereof. The Company will take all such action as may be reasonably necessary or appropriate to assure that the Underlying Shares may be issued as provided herein without violating any applicable law or regulation, or any requirements of the Trading Market upon which the Company Common Stock may be listed.</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(c)The certificates representing the Underlying Shares will bear the following or similar legend, unless the Company determines otherwise in compliance with applicable law:</w:t>
      </w:r>
    </w:p>
    <w:p>
      <w:pPr>
        <w:pStyle w:val="TextBody"/>
        <w:bidi w:val="0"/>
        <w:spacing w:before="0" w:after="0"/>
        <w:ind w:left="1440" w:right="0" w:hanging="0"/>
        <w:jc w:val="left"/>
        <w:rPr/>
      </w:pPr>
      <w:r>
        <w:rPr/>
        <w:t>“</w:t>
      </w:r>
      <w:r>
        <w:rPr>
          <w:rFonts w:ascii="Times New Roman;Times;serif" w:hAnsi="Times New Roman;Times;serif"/>
          <w:sz w:val="20"/>
        </w:rPr>
        <w:t>THE SECURITIES REPRESENTED HEREBY HAVE NOT BEEN REGISTERED UNDER THE SECURITIES ACT OF 1933, AS AMENDED (THE “</w:t>
      </w:r>
      <w:r>
        <w:rPr>
          <w:rFonts w:ascii="Times New Roman;Times;serif" w:hAnsi="Times New Roman;Times;serif"/>
          <w:b/>
          <w:i/>
          <w:sz w:val="20"/>
        </w:rPr>
        <w:t>ACT</w:t>
      </w:r>
      <w:r>
        <w:rPr>
          <w:rFonts w:ascii="Times New Roman;Times;serif" w:hAnsi="Times New Roman;Times;serif"/>
          <w:sz w:val="20"/>
        </w:rPr>
        <w:t>”), OR UNDER THE SECURITIES LAWS OF ANY STATE.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w:t>
      </w:r>
    </w:p>
    <w:p>
      <w:pPr>
        <w:pStyle w:val="TextBody"/>
        <w:bidi w:val="0"/>
        <w:spacing w:before="0" w:after="0"/>
        <w:ind w:left="1440" w:right="0" w:hanging="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sz w:val="20"/>
        </w:rPr>
        <w:t>SATISFACTORY TO THE ISSUER TO THE EFFECT THAT ANY PROPOSED TRANSFER OR RESALE IS IN COMPLIANCE WITH THE ACT AND ANY APPLICABLE STATE SECURITIES LAWS.”</w:t>
      </w:r>
    </w:p>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sz w:val="20"/>
        </w:rPr>
        <w:t xml:space="preserve">Section 7. </w:t>
      </w:r>
      <w:r>
        <w:rPr>
          <w:rFonts w:ascii="Times New Roman;Times;serif" w:hAnsi="Times New Roman;Times;serif"/>
          <w:b/>
          <w:sz w:val="20"/>
        </w:rPr>
        <w:t>Anti-Dilution Adjustments</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(a)If the Company shall at any time prior to the expiration of this Warrant (i) make a distribution or distributions on shares of Company Common Stock or any other equity or equity securities payable in additional shares of Company Common Stock or any other equity or equity securities or (ii) subdivide or reclassify the Company Common Stock (by stock split, recapitalization, or any other similar event) into a larger number of shares, then in each such case the number of shares issuable upon exercise of this Warrant shall be proportionately increased. If the Company shall at any time prior to the expiration of this Warrant combine or reclassify the Company Common Stock (by reverse stock split, recapitalization, combination of shares, or any other similar event) into a smaller number of shares, then in each such case the number of shares issuable upon exercise of this Warrant shall be proportionately decreased. Before taking any action which would result in an adjustment in the number of Underlying Shares for which this Warrant is exercisable, the Company shall obtain all such authorizations or exemptions thereof, or consents thereto, as may be necessary from any public regulatory body or bodies having jurisdiction thereof.</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(b)If the Company shall at any time prior to the expiration of this Warrant (in each case, occurring after the date hereof) be a party to any merger, consolidation, exchange of shares of Company Common Stock, sale of a majority of the Company Common Stock, sale of all or substantially all of the assets of the Company, separation, reorganization, recapitalization, winding up or liquidation of the Company, or other similar event or transaction (each, a “</w:t>
      </w:r>
      <w:r>
        <w:rPr>
          <w:rFonts w:ascii="Times New Roman;Times;serif" w:hAnsi="Times New Roman;Times;serif"/>
          <w:b/>
          <w:sz w:val="20"/>
        </w:rPr>
        <w:t>Fundamental Change</w:t>
      </w:r>
      <w:r>
        <w:rPr>
          <w:rFonts w:ascii="Times New Roman;Times;serif" w:hAnsi="Times New Roman;Times;serif"/>
          <w:sz w:val="20"/>
        </w:rPr>
        <w:t>”), as a result of which shares of Company Common Stock shall be changed into the same or a different number or class or classes of securities of the Company or another entity, or the holders of shares of Company Common Stock are entitled to receive cash or other property, then, upon the Exercise of this Warrant by the Holder, such Holder shall receive, for the Aggregate Exercise Price as in effect immediately prior to such Fundamental Change (subject to all other adjustments under this Warrant), the aggregate number of shares or such other securities, cash or other property which such Holder would have received if this Warrant had been exercised immediately prior to such Fundamental Change (collectively, the “</w:t>
      </w:r>
      <w:r>
        <w:rPr>
          <w:rFonts w:ascii="Times New Roman;Times;serif" w:hAnsi="Times New Roman;Times;serif"/>
          <w:b/>
          <w:sz w:val="20"/>
        </w:rPr>
        <w:t>Fundamental Change Receivable</w:t>
      </w:r>
      <w:r>
        <w:rPr>
          <w:rFonts w:ascii="Times New Roman;Times;serif" w:hAnsi="Times New Roman;Times;serif"/>
          <w:sz w:val="20"/>
        </w:rPr>
        <w:t xml:space="preserve">”), which, upon the Holder’s election, may be received net of the Aggregate Exercise Price (for the avoidance of doubt, without payment by the Holder of any cash in an amount equal to the Exercise Price). In the case of any Fundamental Change, the successor or purchasing party of such merger, consolidation, exchange of shares of Company Common Stock, sale of all or substantially all of the assets of the Company or reorganization (if other than the Company) shall duly execute and deliver to the Holder a supplement to this Warrant acknowledging the Company and such party’s obligations under this </w:t>
      </w:r>
      <w:r>
        <w:rPr>
          <w:rFonts w:ascii="Times New Roman;Times;serif" w:hAnsi="Times New Roman;Times;serif"/>
          <w:b/>
          <w:sz w:val="20"/>
        </w:rPr>
        <w:t>Section 7(b)</w:t>
      </w:r>
      <w:r>
        <w:rPr>
          <w:rFonts w:ascii="Times New Roman;Times;serif" w:hAnsi="Times New Roman;Times;serif"/>
          <w:sz w:val="20"/>
        </w:rPr>
        <w:t>. The terms of this Warrant shall be applicable to the Fundamental Change Receivable due to the Holder upon the consummation of any such Fundamental Change.</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(c)If the Company, at any time while this Warrant is outstanding, shall otherwise distribute to all holders of Company Common Stock (and not to the Holder or Holders) evidences of its indebtedness or assets (including cash and cash dividends) or rights or warrants to subscribe for or purchase any security (for the avoidance of doubt, excluding in each such case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any distribution for which adjustment is made under Section 7(a) or any Fundamental Change Receivable), then in each such case provision shall be made so that the Holder shall receive, simultaneously with the distribution to the holders of Company Common Stock, the kind and amount of evidences of indebtedness or assets or rights or warrants to subscribe for or purchase security that the Holder would have been entitled to receive had this Warrant been exercised in full into Underlying Shares on the date of such event, giving application to all adjustments called for during such period under this </w:t>
      </w:r>
      <w:r>
        <w:rPr>
          <w:rFonts w:ascii="Times New Roman;Times;serif" w:hAnsi="Times New Roman;Times;serif"/>
          <w:b/>
          <w:sz w:val="20"/>
        </w:rPr>
        <w:t>Section 7</w:t>
      </w:r>
      <w:r>
        <w:rPr>
          <w:rFonts w:ascii="Times New Roman;Times;serif" w:hAnsi="Times New Roman;Times;serif"/>
          <w:sz w:val="20"/>
        </w:rPr>
        <w:t xml:space="preserve"> with respect to the rights of the Holder.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(d)Not less than five (5) days prior to the record date or effective date, as the case may be, of any event which requires or might require an adjustment or readjustment pursuant to </w:t>
      </w:r>
      <w:r>
        <w:rPr>
          <w:rFonts w:ascii="Times New Roman;Times;serif" w:hAnsi="Times New Roman;Times;serif"/>
          <w:b/>
          <w:sz w:val="20"/>
        </w:rPr>
        <w:t>Section 7(a</w:t>
      </w:r>
      <w:r>
        <w:rPr>
          <w:rFonts w:ascii="Times New Roman;Times;serif" w:hAnsi="Times New Roman;Times;serif"/>
          <w:sz w:val="20"/>
        </w:rPr>
        <w:t>) (each, an “</w:t>
      </w:r>
      <w:r>
        <w:rPr>
          <w:rFonts w:ascii="Times New Roman;Times;serif" w:hAnsi="Times New Roman;Times;serif"/>
          <w:b/>
          <w:sz w:val="20"/>
        </w:rPr>
        <w:t>Adjustment Event</w:t>
      </w:r>
      <w:r>
        <w:rPr>
          <w:rFonts w:ascii="Times New Roman;Times;serif" w:hAnsi="Times New Roman;Times;serif"/>
          <w:sz w:val="20"/>
        </w:rPr>
        <w:t xml:space="preserve">”) or a distribution pursuant to </w:t>
      </w:r>
      <w:r>
        <w:rPr>
          <w:rFonts w:ascii="Times New Roman;Times;serif" w:hAnsi="Times New Roman;Times;serif"/>
          <w:b/>
          <w:sz w:val="20"/>
        </w:rPr>
        <w:t>Section 7(c)</w:t>
      </w:r>
      <w:r>
        <w:rPr>
          <w:rFonts w:ascii="Times New Roman;Times;serif" w:hAnsi="Times New Roman;Times;serif"/>
          <w:sz w:val="20"/>
        </w:rPr>
        <w:t xml:space="preserve"> (each, an “</w:t>
      </w:r>
      <w:r>
        <w:rPr>
          <w:rFonts w:ascii="Times New Roman;Times;serif" w:hAnsi="Times New Roman;Times;serif"/>
          <w:b/>
          <w:sz w:val="20"/>
        </w:rPr>
        <w:t>Asset Distribution</w:t>
      </w:r>
      <w:r>
        <w:rPr>
          <w:rFonts w:ascii="Times New Roman;Times;serif" w:hAnsi="Times New Roman;Times;serif"/>
          <w:sz w:val="20"/>
        </w:rPr>
        <w:t xml:space="preserve">”), and not less than ten (10) days prior to the record date or effective date, as the case may be, of any Fundamental Change, the Company shall give written notice of such Adjustment Event, Asset Distribution or Fundamental Change (as applicable) to the Holder or Holders, describing such Adjustment Event, Asset Distribution or Fundamental Change in reasonable detail and specifying the record date or effective date, as the case may be. Such notice shall additionally include the Company’s certification of the following computations, as applicable, each of which shall have been made by the Company in good faith: (i) in the case of an Adjustment Event, if determinable, the required adjustment and the computation thereof or, if the required adjustment is not determinable at the time of such notice, the Company shall give notice to the Holder or Holders of such adjustment and computation promptly after such adjustment becomes determinable, (ii) in the case of an Asset Distribution, the kind and amount of evidences of indebtedness or assets or rights or warrants to subscribe for or purchase security that is distributable to the Holder and the computation thereof and (iii) in the case of a Fundamental Change, the number of shares or such other securities, cash or other property which is payable to the Holder or Holders upon the Fundamental Change and the computation thereof. Except as otherwise prohibited by applicable laws, to the extent that any notice provided pursuant to this </w:t>
      </w:r>
      <w:r>
        <w:rPr>
          <w:rFonts w:ascii="Times New Roman;Times;serif" w:hAnsi="Times New Roman;Times;serif"/>
          <w:b/>
          <w:sz w:val="20"/>
        </w:rPr>
        <w:t xml:space="preserve">Section 7(d) </w:t>
      </w:r>
      <w:r>
        <w:rPr>
          <w:rFonts w:ascii="Times New Roman;Times;serif" w:hAnsi="Times New Roman;Times;serif"/>
          <w:sz w:val="20"/>
        </w:rPr>
        <w:t>contains material, non-public information regarding the Company, the Company shall disclose such information regarding the Company in a Current Report on Form 8-K and file such Current Report on Form 8-K with the SEC no later than the second Trading Day following the date such notice is delivered to the Holder.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(e)Notwithstanding any other provision hereof, if an exercise of all or any portion of this Warrant is to be made in connection with a Fundamental Change or a public offering, such exercise may, at the election of the Holder, be conditioned upon the consummation of such transaction, in which case such exercise shall not be deemed to be effective until immediately prior to the consummation of such transaction.</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(f)At all times on and prior to the Expiration Date, the Company shall at all times reserve and keep available out of its authorized but unissued Company Common Stock (or other equity interests then constituting Underlying Shares), solely for the purpose of issuance upon the exercise of this Warrant, the maximum number of Underlying Shares issuable upon the exercise of this Warrant. The Company further covenants that its issuance of this Warrant shall constitute full authority to its officers who are charged with the duty of executing stock certificates or effectuating the book entry of uncertificated shares to execute and issue, or enter, the necessary certificates or book entries (as applicable) for the Underlying Shares upon the exercise of the purchase rights under this Warrant. The Company shall not increase the par value of any</w:t>
      </w:r>
    </w:p>
    <w:p>
      <w:pPr>
        <w:pStyle w:val="TextBody"/>
        <w:bidi w:val="0"/>
        <w:spacing w:before="0" w:after="0"/>
        <w:ind w:left="0" w:right="0" w:firstLine="144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Underlying Shares receivable upon the exercise of this Warrant above the Exercise Price, and shall take all such actions within its power as may be necessary or appropriate in order that the Company may validly and legally issue fully paid and non-assessable Underlying Shares upon the exercise of this Warrant.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8. </w:t>
      </w:r>
      <w:r>
        <w:rPr>
          <w:rFonts w:ascii="Times New Roman;Times;serif" w:hAnsi="Times New Roman;Times;serif"/>
          <w:b/>
          <w:sz w:val="20"/>
        </w:rPr>
        <w:t>Transfer of Warrant</w:t>
      </w:r>
      <w:r>
        <w:rPr>
          <w:rFonts w:ascii="Times New Roman;Times;serif" w:hAnsi="Times New Roman;Times;serif"/>
          <w:sz w:val="20"/>
        </w:rPr>
        <w:t xml:space="preserve">. Subject to compliance with applicable federal and state securities laws, the Holder may, from time to time, transfer this Warrant or the Underlying Shares, in each case, in whole or in part, by giving the Company a written notice of the portion of the Warrant or the shares of the Underlying Shares being transferred, such notice to set forth the name, address and taxpayer identification number of the transferee, the anticipated date of such transfer, and surrendering this Warrant or the certificates or book-entry records representing shares of the Underlying Shares, as applicable, to the Company for reissuance to the transferee(s). Upon surrender of this Warrant by a Holder to the Company for transfer, in whole or in part, the Company shall issue a new warrant to such Holder in such denomination as shall be requested by such Holder covering the number of Underlying Shares, if any, in respect of which this Warrant shall not have been transferred. Such new warrant shall be identical in all other respects to this Warrant. This Warrant may be divided or combined with other Warrants upon presentation hereof at the office of the Company, together with a written notice specifying the names and denominations in which new Warrants are to be issued, signed by the Holder or its agent or attorney. Subject to compliance with this </w:t>
      </w:r>
      <w:r>
        <w:rPr>
          <w:rFonts w:ascii="Times New Roman;Times;serif" w:hAnsi="Times New Roman;Times;serif"/>
          <w:b/>
          <w:sz w:val="20"/>
        </w:rPr>
        <w:t>Section 8</w:t>
      </w:r>
      <w:r>
        <w:rPr>
          <w:rFonts w:ascii="Times New Roman;Times;serif" w:hAnsi="Times New Roman;Times;serif"/>
          <w:sz w:val="20"/>
        </w:rPr>
        <w:t xml:space="preserve">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as of the Initial Issuance Date and shall be identical to this Warrant except as to the number of Underlying Shares issuable pursuant thereto.</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9. </w:t>
      </w:r>
      <w:r>
        <w:rPr>
          <w:rFonts w:ascii="Times New Roman;Times;serif" w:hAnsi="Times New Roman;Times;serif"/>
          <w:b/>
          <w:sz w:val="20"/>
        </w:rPr>
        <w:t>No Impairment</w:t>
      </w:r>
      <w:r>
        <w:rPr>
          <w:rFonts w:ascii="Times New Roman;Times;serif" w:hAnsi="Times New Roman;Times;serif"/>
          <w:sz w:val="20"/>
        </w:rPr>
        <w:t>. The Company may not, including, without limitation, by amendment of its certificate of incorporation or bylaws, or through a Fundamental Change or any other voluntary action, avoid or seek to avoid the observance or performance of any of the terms of this Warrant, and the Company shall at all times in good faith assist in the carrying out of all such terms and in the taking of all such action as may be necessary or appropriate in order to protect the rights of the Holder or Holders against impairment. Without limiting the generality of the foregoing, the Company shall take (a) all such action as may be necessary or appropriate in order that the Company may duly and validly issue fully paid and non-assessable Underlying Shares, free from any taxes, liens, charges and preemptive rights, upon the exercise of this Warrant, and (b) use its best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 xml:space="preserve">Section 10. </w:t>
      </w:r>
      <w:r>
        <w:rPr>
          <w:rFonts w:ascii="Times New Roman;Times;serif" w:hAnsi="Times New Roman;Times;serif"/>
          <w:b/>
          <w:sz w:val="20"/>
        </w:rPr>
        <w:t>No Rights or Liabilities as a Stockholder</w:t>
      </w:r>
      <w:r>
        <w:rPr>
          <w:rFonts w:ascii="Times New Roman;Times;serif" w:hAnsi="Times New Roman;Times;serif"/>
          <w:sz w:val="20"/>
        </w:rPr>
        <w:t>. This Warrant shall not entitle the Holder or Holders hereof to any voting rights or other rights as a stockholder of the Company with respect to the Underlying Shares prior to the exercise of the Warrant. No provision of this Warrant, in the absence of affirmative action by the Holder or Holders to purchase the Underlying Shares, and no mere enumeration herein of the rights or privileges of the Holder or Holders, shall give rise to any liability of such Holder or Holders for the Exercise Price or as a stockholder of the Company, whether such liability is asserted by the Company or by creditors of the Company.</w:t>
      </w:r>
    </w:p>
    <w:p>
      <w:pPr>
        <w:pStyle w:val="TextBody"/>
        <w:bidi w:val="0"/>
        <w:spacing w:before="0" w:after="0"/>
        <w:ind w:left="0" w:right="0" w:firstLine="144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11. </w:t>
      </w:r>
      <w:r>
        <w:rPr>
          <w:rFonts w:ascii="Times New Roman;Times;serif" w:hAnsi="Times New Roman;Times;serif"/>
          <w:b/>
          <w:sz w:val="20"/>
        </w:rPr>
        <w:t>Representations and Warranties of the Company</w:t>
      </w:r>
      <w:r>
        <w:rPr>
          <w:rFonts w:ascii="Times New Roman;Times;serif" w:hAnsi="Times New Roman;Times;serif"/>
          <w:sz w:val="20"/>
        </w:rPr>
        <w:t>. The Company hereby represents and warrants: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(a)As of the Initial Issuance Date, the Company (A) is a corporation duly organized, validly existing and in good standing under the laws of the State of Delaware, (B) has all requisite power and authority to own and operate its properties, to carry on its business as now conducted and as currently proposed to be conducted, to issue and enter into the Warrant and to carry out the transactions contemplated thereby, and (C) except where the failure to do so, individually or in the aggregate, has not had, and could not be reasonably expected to have, a material adverse effect on the business, assets, financial condition or operations of the Company, is qualified to do business and, where applicable is in good standing, in every jurisdiction where such qualification is required.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(b)This Warrant is, and any Warrant issued in substitution for or replacement of this Warrant (including pursuant to </w:t>
      </w:r>
      <w:r>
        <w:rPr>
          <w:rFonts w:ascii="Times New Roman;Times;serif" w:hAnsi="Times New Roman;Times;serif"/>
          <w:b/>
          <w:sz w:val="20"/>
        </w:rPr>
        <w:t>Section 15</w:t>
      </w:r>
      <w:r>
        <w:rPr>
          <w:rFonts w:ascii="Times New Roman;Times;serif" w:hAnsi="Times New Roman;Times;serif"/>
          <w:sz w:val="20"/>
        </w:rPr>
        <w:t>) shall be, upon issuance, duly authorized and validly issued. This Warrant constitutes, and any Warrant issued in substitution for or replacement of this Warrant shall be, upon issuance, a legal, valid and binding obligation of the Company, enforceable against the Company in accordance with its terms, except as enforceability may be limited by applicable bankruptcy, insolvency or other similar laws affecting the enforcement of creditors’ rights generally and by general principles of equity.</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(c)As of the Initial Issuance Date, the execution, delivery and performance by the Company of the Warrant does not and will not (A) violate any material provision of applicable law or the organizational documents of the Company, (B) conflict with, result in a breach of, or constitute (with the giving of any notice, the passage of time, or both) a default under any material agreement of the Company or (C) result in or require the creation or imposition of any lien upon any assets of the Company.</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12. </w:t>
      </w:r>
      <w:r>
        <w:rPr>
          <w:rFonts w:ascii="Times New Roman;Times;serif" w:hAnsi="Times New Roman;Times;serif"/>
          <w:b/>
          <w:sz w:val="20"/>
        </w:rPr>
        <w:t>Successors</w:t>
      </w:r>
      <w:r>
        <w:rPr>
          <w:rFonts w:ascii="Times New Roman;Times;serif" w:hAnsi="Times New Roman;Times;serif"/>
          <w:sz w:val="20"/>
        </w:rPr>
        <w:t>. All the covenants and provisions of this Warrant by or for the benefit of the Company or the Holder or Holders shall bind and inure to the benefit of their respective successors and assigns.</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13. </w:t>
      </w:r>
      <w:r>
        <w:rPr>
          <w:rFonts w:ascii="Times New Roman;Times;serif" w:hAnsi="Times New Roman;Times;serif"/>
          <w:b/>
          <w:sz w:val="20"/>
        </w:rPr>
        <w:t>Survival</w:t>
      </w:r>
      <w:r>
        <w:rPr>
          <w:rFonts w:ascii="Times New Roman;Times;serif" w:hAnsi="Times New Roman;Times;serif"/>
          <w:sz w:val="20"/>
        </w:rPr>
        <w:t>. The rights of the Holder or Holders under this Warrant, and the covenants and agreements of the Company set forth in this Warrant for the benefit of the Holder or Holders, shall survive exercise of all or any portion of this Warrant and shall inure to the Holder or Holders of any Underlying Shares.</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 xml:space="preserve">Section 14. </w:t>
      </w:r>
      <w:r>
        <w:rPr>
          <w:rFonts w:ascii="Times New Roman;Times;serif" w:hAnsi="Times New Roman;Times;serif"/>
          <w:b/>
          <w:sz w:val="20"/>
        </w:rPr>
        <w:t>Remedies</w:t>
      </w:r>
      <w:r>
        <w:rPr>
          <w:rFonts w:ascii="Times New Roman;Times;serif" w:hAnsi="Times New Roman;Times;serif"/>
          <w:sz w:val="20"/>
        </w:rPr>
        <w:t>. If the Company violates, breaches or defaults under this Warrant, the Holder may proceed to protect and enforce its rights by any action at law, suit in equity or other appropriate proceeding, whether for specific performance of any agreement contained in this Warrant, or for an injunction against a violation of any of the terms hereof, or in and of the exercise of any power granted hereby or by law, in each case without providing any bond or other security in connection with such action, suit or other proceeding. In case of any violation, breach or default under this Warrant, the Company shall pay to the Holder on demand all reasonable costs and expenses of enforcing the Holder’s rights under this Warrant, including, without limitation, reasonable attorneys’ fees and legal expenses.</w:t>
      </w:r>
    </w:p>
    <w:p>
      <w:pPr>
        <w:pStyle w:val="TextBody"/>
        <w:bidi w:val="0"/>
        <w:spacing w:before="0" w:after="0"/>
        <w:ind w:left="0" w:right="0" w:firstLine="144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15. </w:t>
      </w:r>
      <w:r>
        <w:rPr>
          <w:rFonts w:ascii="Times New Roman;Times;serif" w:hAnsi="Times New Roman;Times;serif"/>
          <w:b/>
          <w:sz w:val="20"/>
        </w:rPr>
        <w:t>Loss, Theft, Destruction or Mutilation of Warrant</w:t>
      </w:r>
      <w:r>
        <w:rPr>
          <w:rFonts w:ascii="Times New Roman;Times;serif" w:hAnsi="Times New Roman;Times;serif"/>
          <w:sz w:val="20"/>
        </w:rPr>
        <w:t>. The Company covenants that upon its receipt of evidence reasonably satisfactory to it of the loss, theft, destruction or mutilation of this Warrant or any stock certificate relating to the Underlying Shares (and, in the case of mutilation, the surrender and cancellation of this Warrant or such stock certificate), the Company shall make and deliver to the Holder a new Warrant or stock certificate that is identical to this Warrant or to such stock certificate (as applicable).</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16. </w:t>
      </w:r>
      <w:r>
        <w:rPr>
          <w:rFonts w:ascii="Times New Roman;Times;serif" w:hAnsi="Times New Roman;Times;serif"/>
          <w:b/>
          <w:sz w:val="20"/>
        </w:rPr>
        <w:t>Article and Section Headings</w:t>
      </w:r>
      <w:r>
        <w:rPr>
          <w:rFonts w:ascii="Times New Roman;Times;serif" w:hAnsi="Times New Roman;Times;serif"/>
          <w:sz w:val="20"/>
        </w:rPr>
        <w:t>. Numbered and titled article and section headings are for convenience only and shall not be construed as amplifying or limiting any of the provisions of this Warrant.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17. </w:t>
      </w:r>
      <w:r>
        <w:rPr>
          <w:rFonts w:ascii="Times New Roman;Times;serif" w:hAnsi="Times New Roman;Times;serif"/>
          <w:b/>
          <w:sz w:val="20"/>
        </w:rPr>
        <w:t>Notice</w:t>
      </w:r>
      <w:r>
        <w:rPr>
          <w:rFonts w:ascii="Times New Roman;Times;serif" w:hAnsi="Times New Roman;Times;serif"/>
          <w:sz w:val="20"/>
        </w:rPr>
        <w:t>. Any and all notices, elections or demands permitted or required to be made under this Warrant shall be in writing, signed by the party giving such notice, election or demand and shall be delivered in accordance with the notice provisions in the Credit Agreement.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18. </w:t>
      </w:r>
      <w:r>
        <w:rPr>
          <w:rFonts w:ascii="Times New Roman;Times;serif" w:hAnsi="Times New Roman;Times;serif"/>
          <w:b/>
          <w:sz w:val="20"/>
        </w:rPr>
        <w:t>Severability</w:t>
      </w:r>
      <w:r>
        <w:rPr>
          <w:rFonts w:ascii="Times New Roman;Times;serif" w:hAnsi="Times New Roman;Times;serif"/>
          <w:sz w:val="20"/>
        </w:rPr>
        <w:t>. If any provisions(s) of this Warrant or the application thereof to any person or circumstances shall be invalid or unenforceable to any extent, the remainder of this Warrant and the application of such provisions to other persons or circumstances shall not be affected thereby and shall be enforced to the greatest extent permitted by law.</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19. </w:t>
      </w:r>
      <w:r>
        <w:rPr>
          <w:rFonts w:ascii="Times New Roman;Times;serif" w:hAnsi="Times New Roman;Times;serif"/>
          <w:b/>
          <w:sz w:val="20"/>
        </w:rPr>
        <w:t>Entire Agreement</w:t>
      </w:r>
      <w:r>
        <w:rPr>
          <w:rFonts w:ascii="Times New Roman;Times;serif" w:hAnsi="Times New Roman;Times;serif"/>
          <w:sz w:val="20"/>
        </w:rPr>
        <w:t>. This Warrant between the Company and the Holder represents the entire agreement between the parties concerning the subject matter hereof, and all oral discussions and prior agreement are merged herein.</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20. </w:t>
      </w:r>
      <w:r>
        <w:rPr>
          <w:rFonts w:ascii="Times New Roman;Times;serif" w:hAnsi="Times New Roman;Times;serif"/>
          <w:b/>
          <w:sz w:val="20"/>
        </w:rPr>
        <w:t>Valuation Dispute Resolution</w:t>
      </w:r>
      <w:r>
        <w:rPr>
          <w:rFonts w:ascii="Times New Roman;Times;serif" w:hAnsi="Times New Roman;Times;serif"/>
          <w:sz w:val="20"/>
        </w:rPr>
        <w:t>. In the case of any dispute as to the determination of any amount or valuation hereunder or in connection with the amount or value of any Company Common Stock or Underlying Shares to be issued, withheld or otherwise determined, the calculation of the Aggregate Exercise Price or any other computation or valuation required to be made hereunder or in connection herewith, in the event the Holder, on the one hand, and the Company, on the other hand, are unable to settle such dispute within five (5) Business Days, then either party may elect to submit the disputed matter(s) for resolution by an accounting firm of nationally recognized standing as may be mutually agreed upon by the Holder and the Company. Such firm’s determination of such disputed matter(s) shall be binding upon all parties absent demonstrable error, and the Company and the Holder shall each pay one half of the fees and costs of such firm.</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21. </w:t>
      </w:r>
      <w:r>
        <w:rPr>
          <w:rFonts w:ascii="Times New Roman;Times;serif" w:hAnsi="Times New Roman;Times;serif"/>
          <w:b/>
          <w:sz w:val="20"/>
        </w:rPr>
        <w:t>Governing Law</w:t>
      </w:r>
      <w:r>
        <w:rPr>
          <w:rFonts w:ascii="Times New Roman;Times;serif" w:hAnsi="Times New Roman;Times;serif"/>
          <w:sz w:val="20"/>
        </w:rPr>
        <w:t>. This Warrant and the rights and obligations of the parties hereunder, and any claims, controversy, dispute or cause of action (whether in contract or tort or otherwise) based upon, arising out of or relating to this Warrant and the transactions contemplated hereby shall be governed by, and construed in accordance with, the law of the State of New York.</w:t>
      </w:r>
    </w:p>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sz w:val="20"/>
        </w:rPr>
        <w:t xml:space="preserve">Section 22. </w:t>
      </w:r>
      <w:r>
        <w:rPr>
          <w:rFonts w:ascii="Times New Roman;Times;serif" w:hAnsi="Times New Roman;Times;serif"/>
          <w:b/>
          <w:sz w:val="20"/>
        </w:rPr>
        <w:t>Jurisdiction; Waiver of Venue; Service of Process</w:t>
      </w:r>
      <w:r>
        <w:rPr>
          <w:rFonts w:ascii="Times New Roman;Times;serif" w:hAnsi="Times New Roman;Times;serif"/>
          <w:sz w:val="20"/>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(a)Each party hereto irrevocably and unconditionally agrees that it will not commence any action, litigation or proceeding of any kind or description, whether in law or equity, whether in contract or in tort or otherwise, against any other party hereto in any way relating to this Warrant or the transactions relating hereto, in any forum other than the courts of the State of</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(b)Each party hereto irrevocably and unconditionally waives, to the fullest extent permitted by applicable law, any objection that it may now or hereafter have to the laying of venue of any action or proceeding arising out of or relating to this Agreement in any court referred to in paragraph (a) of this </w:t>
      </w:r>
      <w:r>
        <w:rPr>
          <w:rFonts w:ascii="Times New Roman;Times;serif" w:hAnsi="Times New Roman;Times;serif"/>
          <w:b/>
          <w:sz w:val="20"/>
        </w:rPr>
        <w:t>Section 22</w:t>
      </w:r>
      <w:r>
        <w:rPr>
          <w:rFonts w:ascii="Times New Roman;Times;serif" w:hAnsi="Times New Roman;Times;serif"/>
          <w:sz w:val="20"/>
        </w:rPr>
        <w:t>. Each of the parties hereto hereby irrevocably waives, to the fullest extent permitted by applicable law, the defense of an inconvenient forum to the maintenance of such action or proceeding in any such court.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 xml:space="preserve">(c)Each party hereto irrevocably consents to service of process in the manner provided for notices in </w:t>
      </w:r>
      <w:r>
        <w:rPr>
          <w:rFonts w:ascii="Times New Roman;Times;serif" w:hAnsi="Times New Roman;Times;serif"/>
          <w:b/>
          <w:sz w:val="20"/>
        </w:rPr>
        <w:t>Section 17</w:t>
      </w:r>
      <w:r>
        <w:rPr>
          <w:rFonts w:ascii="Times New Roman;Times;serif" w:hAnsi="Times New Roman;Times;serif"/>
          <w:sz w:val="20"/>
        </w:rPr>
        <w: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23. </w:t>
      </w:r>
      <w:r>
        <w:rPr>
          <w:rFonts w:ascii="Times New Roman;Times;serif" w:hAnsi="Times New Roman;Times;serif"/>
          <w:b/>
          <w:sz w:val="20"/>
        </w:rPr>
        <w:t>Amendment</w:t>
      </w:r>
      <w:r>
        <w:rPr>
          <w:rFonts w:ascii="Times New Roman;Times;serif" w:hAnsi="Times New Roman;Times;serif"/>
          <w:sz w:val="20"/>
        </w:rPr>
        <w:t>. No amendment or modification hereof shall be effective except in a writing executed by the Company and the Holder.</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Section 24. </w:t>
      </w:r>
      <w:r>
        <w:rPr>
          <w:rFonts w:ascii="Times New Roman;Times;serif" w:hAnsi="Times New Roman;Times;serif"/>
          <w:b/>
          <w:sz w:val="20"/>
        </w:rPr>
        <w:t>Counterparts</w:t>
      </w:r>
      <w:r>
        <w:rPr>
          <w:rFonts w:ascii="Times New Roman;Times;serif" w:hAnsi="Times New Roman;Times;serif"/>
          <w:sz w:val="20"/>
        </w:rPr>
        <w:t>. This Warrant may be executed in any number of counterparts, each of which when so executed shall be deemed to be an original and all of which taken together shall constitute one and the same Warrant.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 xml:space="preserve">Section 25. </w:t>
      </w:r>
      <w:r>
        <w:rPr>
          <w:rFonts w:ascii="Times New Roman;Times;serif" w:hAnsi="Times New Roman;Times;serif"/>
          <w:b/>
          <w:sz w:val="20"/>
        </w:rPr>
        <w:t>Waiver of Jury Trial</w:t>
      </w:r>
      <w:r>
        <w:rPr>
          <w:rFonts w:ascii="Times New Roman;Times;serif" w:hAnsi="Times New Roman;Times;serif"/>
          <w:sz w:val="20"/>
        </w:rPr>
        <w:t xml:space="preserve">. EACH PARTY HERETO HEREBY IRREVOCABLY WAIVES, TO THE FULLEST EXTENT PERMITTED BY APPLICABLE LAW, ANY AND ALL RIGHT TO TRIAL BY JURY IN ANY SUIT, ACTION OR PROCEEDING ARISING OUT OF OR RELATING TO THIS WARRANT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WARRANT BY, AMONG OTHER THINGS, THE MUTUAL WAIVERS AND CERTIFICATIONS IN THIS </w:t>
      </w:r>
      <w:r>
        <w:rPr>
          <w:rFonts w:ascii="Times New Roman;Times;serif" w:hAnsi="Times New Roman;Times;serif"/>
          <w:b/>
          <w:sz w:val="20"/>
        </w:rPr>
        <w:t>SECTION 25</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Follows]</w:t>
      </w:r>
    </w:p>
    <w:p>
      <w:pPr>
        <w:pStyle w:val="TextBody"/>
        <w:bidi w:val="0"/>
        <w:spacing w:before="0" w:after="0"/>
        <w:ind w:left="346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Exhibit A-11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parties hereto have set their hands as of the date first above written.</w:t>
      </w:r>
    </w:p>
    <w:p>
      <w:pPr>
        <w:pStyle w:val="TextBody"/>
        <w:bidi w:val="0"/>
        <w:spacing w:before="0" w:after="0"/>
        <w:ind w:left="0" w:right="0" w:hanging="0"/>
        <w:jc w:val="center"/>
        <w:rPr/>
      </w:pPr>
      <w:r>
        <w:rPr/>
        <w:t>​</w:t>
      </w:r>
    </w:p>
    <w:tbl>
      <w:tblPr>
        <w:tblW w:w="3229" w:type="dxa"/>
        <w:jc w:val="left"/>
        <w:tblInd w:w="0" w:type="dxa"/>
        <w:tblLayout w:type="fixed"/>
        <w:tblCellMar>
          <w:top w:w="0" w:type="dxa"/>
          <w:left w:w="0" w:type="dxa"/>
          <w:bottom w:w="0" w:type="dxa"/>
          <w:right w:w="0" w:type="dxa"/>
        </w:tblCellMar>
      </w:tblPr>
      <w:tblGrid>
        <w:gridCol w:w="124"/>
        <w:gridCol w:w="2443"/>
        <w:gridCol w:w="662"/>
      </w:tblGrid>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24" w:type="dxa"/>
            <w:tcBorders/>
            <w:vAlign w:val="center"/>
          </w:tcPr>
          <w:p>
            <w:pPr>
              <w:pStyle w:val="TableContents"/>
              <w:bidi w:val="0"/>
              <w:spacing w:before="0" w:after="0"/>
              <w:ind w:left="0" w:right="0" w:hanging="0"/>
              <w:jc w:val="left"/>
              <w:rPr/>
            </w:pPr>
            <w:r>
              <w:rPr/>
              <w:t>​</w:t>
            </w:r>
          </w:p>
        </w:tc>
        <w:tc>
          <w:tcPr>
            <w:tcW w:w="31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6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Warrant</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70" w:name="btai-20251231xex19d1.htm"/>
      <w:bookmarkStart w:id="1071" w:name="ksbtai20251231xex19d1"/>
      <w:bookmarkEnd w:id="1070"/>
      <w:bookmarkEnd w:id="1071"/>
      <w:r>
        <w:rPr>
          <w:rFonts w:ascii="Times New Roman;Times;serif" w:hAnsi="Times New Roman;Times;serif"/>
          <w:b/>
          <w:sz w:val="20"/>
        </w:rPr>
        <w:t>Exhibit 19.1</w:t>
      </w:r>
      <w:r>
        <w:br w:type="page"/>
      </w:r>
    </w:p>
    <w:p>
      <w:pPr>
        <w:pStyle w:val="TextBody"/>
        <w:bidi w:val="0"/>
        <w:spacing w:before="0" w:after="0"/>
        <w:ind w:left="0" w:right="0" w:hanging="0"/>
        <w:jc w:val="center"/>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BIOXCEL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INSIDER TRADING COMPLIANCE POLICY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Insider Trading Compliance Policy (this “</w:t>
      </w:r>
      <w:r>
        <w:rPr>
          <w:rFonts w:ascii="Times New Roman;Times;serif" w:hAnsi="Times New Roman;Times;serif"/>
          <w:b/>
          <w:i/>
          <w:sz w:val="20"/>
        </w:rPr>
        <w:t>Policy</w:t>
      </w:r>
      <w:r>
        <w:rPr>
          <w:rFonts w:ascii="Times New Roman;Times;serif" w:hAnsi="Times New Roman;Times;serif"/>
          <w:sz w:val="20"/>
        </w:rPr>
        <w:t>”) consists of seven sections:</w:t>
      </w:r>
    </w:p>
    <w:tbl>
      <w:tblPr>
        <w:tblW w:w="2778" w:type="dxa"/>
        <w:jc w:val="left"/>
        <w:tblInd w:w="0" w:type="dxa"/>
        <w:tblLayout w:type="fixed"/>
        <w:tblCellMar>
          <w:top w:w="0" w:type="dxa"/>
          <w:left w:w="0" w:type="dxa"/>
          <w:bottom w:w="0" w:type="dxa"/>
          <w:right w:w="0" w:type="dxa"/>
        </w:tblCellMar>
      </w:tblPr>
      <w:tblGrid>
        <w:gridCol w:w="23"/>
        <w:gridCol w:w="170"/>
        <w:gridCol w:w="2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 provides an overview;</w:t>
            </w:r>
          </w:p>
        </w:tc>
      </w:tr>
    </w:tbl>
    <w:tbl>
      <w:tblPr>
        <w:tblW w:w="6378" w:type="dxa"/>
        <w:jc w:val="left"/>
        <w:tblInd w:w="0" w:type="dxa"/>
        <w:tblLayout w:type="fixed"/>
        <w:tblCellMar>
          <w:top w:w="0" w:type="dxa"/>
          <w:left w:w="0" w:type="dxa"/>
          <w:bottom w:w="0" w:type="dxa"/>
          <w:right w:w="0" w:type="dxa"/>
        </w:tblCellMar>
      </w:tblPr>
      <w:tblGrid>
        <w:gridCol w:w="23"/>
        <w:gridCol w:w="17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II sets forth the policies of the Company prohibiting insider trading;</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III explains insider trading;</w:t>
            </w:r>
          </w:p>
        </w:tc>
      </w:tr>
    </w:tbl>
    <w:tbl>
      <w:tblPr>
        <w:tblW w:w="8688" w:type="dxa"/>
        <w:jc w:val="left"/>
        <w:tblInd w:w="0" w:type="dxa"/>
        <w:tblLayout w:type="fixed"/>
        <w:tblCellMar>
          <w:top w:w="0" w:type="dxa"/>
          <w:left w:w="0" w:type="dxa"/>
          <w:bottom w:w="0" w:type="dxa"/>
          <w:right w:w="0" w:type="dxa"/>
        </w:tblCellMar>
      </w:tblPr>
      <w:tblGrid>
        <w:gridCol w:w="23"/>
        <w:gridCol w:w="170"/>
        <w:gridCol w:w="8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IV consists of procedures that have been put in place by the Company to prevent insider trading;</w:t>
            </w:r>
          </w:p>
        </w:tc>
      </w:tr>
    </w:tbl>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V sets forth additional transactions that are prohibited by this Policy;</w:t>
            </w:r>
          </w:p>
        </w:tc>
      </w:tr>
    </w:tbl>
    <w:tbl>
      <w:tblPr>
        <w:tblW w:w="4383" w:type="dxa"/>
        <w:jc w:val="left"/>
        <w:tblInd w:w="0" w:type="dxa"/>
        <w:tblLayout w:type="fixed"/>
        <w:tblCellMar>
          <w:top w:w="0" w:type="dxa"/>
          <w:left w:w="0" w:type="dxa"/>
          <w:bottom w:w="0" w:type="dxa"/>
          <w:right w:w="0" w:type="dxa"/>
        </w:tblCellMar>
      </w:tblPr>
      <w:tblGrid>
        <w:gridCol w:w="23"/>
        <w:gridCol w:w="17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VI explains Rule 10b5-1 trading plans; and</w:t>
            </w:r>
          </w:p>
        </w:tc>
      </w:tr>
    </w:tbl>
    <w:tbl>
      <w:tblPr>
        <w:tblW w:w="6288" w:type="dxa"/>
        <w:jc w:val="left"/>
        <w:tblInd w:w="0" w:type="dxa"/>
        <w:tblLayout w:type="fixed"/>
        <w:tblCellMar>
          <w:top w:w="0" w:type="dxa"/>
          <w:left w:w="0" w:type="dxa"/>
          <w:bottom w:w="0" w:type="dxa"/>
          <w:right w:w="0" w:type="dxa"/>
        </w:tblCellMar>
      </w:tblPr>
      <w:tblGrid>
        <w:gridCol w:w="23"/>
        <w:gridCol w:w="170"/>
        <w:gridCol w:w="6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VII refers to the execution and return of a certificate of compliance.</w:t>
            </w:r>
          </w:p>
        </w:tc>
      </w:tr>
    </w:tbl>
    <w:tbl>
      <w:tblPr>
        <w:tblW w:w="1165" w:type="dxa"/>
        <w:jc w:val="left"/>
        <w:tblInd w:w="0" w:type="dxa"/>
        <w:tblLayout w:type="fixed"/>
        <w:tblCellMar>
          <w:top w:w="0" w:type="dxa"/>
          <w:left w:w="0" w:type="dxa"/>
          <w:bottom w:w="0" w:type="dxa"/>
          <w:right w:w="0" w:type="dxa"/>
        </w:tblCellMar>
      </w:tblPr>
      <w:tblGrid>
        <w:gridCol w:w="140"/>
        <w:gridCol w:w="102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1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tc>
      </w:tr>
    </w:tbl>
    <w:p>
      <w:pPr>
        <w:pStyle w:val="TextBody"/>
        <w:bidi w:val="0"/>
        <w:spacing w:before="0" w:after="0"/>
        <w:ind w:left="0" w:right="0" w:hanging="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Preventing insider trading is necessary to comply with securities laws and to preserve the reputation and integrity of BioXcel Therapeutics, Inc. (the “</w:t>
      </w:r>
      <w:r>
        <w:rPr>
          <w:rFonts w:ascii="Times New Roman;Times;serif" w:hAnsi="Times New Roman;Times;serif"/>
          <w:b/>
          <w:i/>
          <w:sz w:val="20"/>
        </w:rPr>
        <w:t>Company</w:t>
      </w:r>
      <w:r>
        <w:rPr>
          <w:rFonts w:ascii="Times New Roman;Times;serif" w:hAnsi="Times New Roman;Times;serif"/>
          <w:sz w:val="20"/>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 imposed sanctions, including termination of employment for cause.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Policy applies to all officers, directors and employees of the Company and its subsidiaries (if any) (collectively, “</w:t>
      </w:r>
      <w:r>
        <w:rPr>
          <w:rFonts w:ascii="Times New Roman;Times;serif" w:hAnsi="Times New Roman;Times;serif"/>
          <w:b/>
          <w:i/>
          <w:sz w:val="20"/>
        </w:rPr>
        <w:t>Company Personnel</w:t>
      </w:r>
      <w:r>
        <w:rPr>
          <w:rFonts w:ascii="Times New Roman;Times;serif" w:hAnsi="Times New Roman;Times;serif"/>
          <w:sz w:val="20"/>
        </w:rPr>
        <w:t>”), as well as such Company Personnel’s spouse, minor children and any other family member sharing the same household as such Company Personnel and any other company, account, trust or other entity over which such Company Personnel has control (collectively, “</w:t>
      </w:r>
      <w:r>
        <w:rPr>
          <w:rFonts w:ascii="Times New Roman;Times;serif" w:hAnsi="Times New Roman;Times;serif"/>
          <w:b/>
          <w:i/>
          <w:sz w:val="20"/>
        </w:rPr>
        <w:t>Related Parties</w:t>
      </w:r>
      <w:r>
        <w:rPr>
          <w:rFonts w:ascii="Times New Roman;Times;serif" w:hAnsi="Times New Roman;Times;serif"/>
          <w:sz w:val="20"/>
        </w:rPr>
        <w:t>” and, together with Company Personnel, “</w:t>
      </w:r>
      <w:r>
        <w:rPr>
          <w:rFonts w:ascii="Times New Roman;Times;serif" w:hAnsi="Times New Roman;Times;serif"/>
          <w:b/>
          <w:i/>
          <w:sz w:val="20"/>
        </w:rPr>
        <w:t>Covered Persons</w:t>
      </w:r>
      <w:r>
        <w:rPr>
          <w:rFonts w:ascii="Times New Roman;Times;serif" w:hAnsi="Times New Roman;Times;serif"/>
          <w:sz w:val="20"/>
        </w:rPr>
        <w:t>”). Transactions by Related Parties should be treated for the purposes of this Policy and applicable securities laws as if they were for Company Personnel’s own account.Company Personnel will be responsible for compliance with this Policy by their Related Parties. This Policy extends to all activities within and outside the Company Personnel’s duties at the Company. All Company Personnel must review this Policy. Questions regarding the Policy should be directed to the Company’s Chief Financial Officer.</w:t>
      </w:r>
    </w:p>
    <w:tbl>
      <w:tblPr>
        <w:tblW w:w="5965" w:type="dxa"/>
        <w:jc w:val="left"/>
        <w:tblInd w:w="0" w:type="dxa"/>
        <w:tblLayout w:type="fixed"/>
        <w:tblCellMar>
          <w:top w:w="0" w:type="dxa"/>
          <w:left w:w="0" w:type="dxa"/>
          <w:bottom w:w="0" w:type="dxa"/>
          <w:right w:w="0" w:type="dxa"/>
        </w:tblCellMar>
      </w:tblPr>
      <w:tblGrid>
        <w:gridCol w:w="260"/>
        <w:gridCol w:w="5705"/>
      </w:tblGrid>
      <w:tr>
        <w:trPr/>
        <w:tc>
          <w:tcPr>
            <w:tcW w:w="26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 xml:space="preserve">II. </w:t>
            </w:r>
          </w:p>
        </w:tc>
        <w:tc>
          <w:tcPr>
            <w:tcW w:w="570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STATEMENT OF POLICIES PROHIBITING INSIDER TRADING</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 Covered Person shall purchase or sell any type of security while in possession of material, non- public information relating to the security, whether the issuer of such security is the Company or any other company.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These prohibitions do not apply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the Company’s securities by a Covered Person from the Company or sales of the Company’s securities by a Covered Person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exercises of stock options or other equity awards or the surrender of shares to the Company in payment of the exercise price or in satisfaction of any tax withholding obligations in a</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manner permitted by the applicable equity award agreement, or vesting of equity-based awards, that in each case do not involve a market sale of the Company’s securities (the “cashless exercise” of a Company stock option through a broker </w:t>
      </w:r>
      <w:r>
        <w:rPr>
          <w:rFonts w:ascii="Times New Roman;Times;serif" w:hAnsi="Times New Roman;Times;serif"/>
          <w:sz w:val="20"/>
          <w:u w:val="single"/>
        </w:rPr>
        <w:t>does</w:t>
      </w:r>
      <w:r>
        <w:rPr>
          <w:rFonts w:ascii="Times New Roman;Times;serif" w:hAnsi="Times New Roman;Times;serif"/>
          <w:sz w:val="20"/>
        </w:rPr>
        <w:t xml:space="preserve"> involve a market sale of the Company’s securities, and therefore would not qualify under this exception);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bona fide</w:t>
            </w:r>
            <w:r>
              <w:rPr>
                <w:caps w:val="false"/>
                <w:smallCaps w:val="false"/>
              </w:rPr>
              <w:t xml:space="preserve"> </w:t>
            </w:r>
            <w:r>
              <w:rPr>
                <w:rFonts w:ascii="Times New Roman;Times;serif" w:hAnsi="Times New Roman;Times;serif"/>
                <w:b w:val="false"/>
                <w:i w:val="false"/>
                <w:caps w:val="false"/>
                <w:smallCaps w:val="false"/>
                <w:sz w:val="20"/>
              </w:rPr>
              <w:t>gifts of the Company’s securities, unless the person making the gift has reason to believe that the recipient intends to sell the securities while the donor is in possession of material, non-public information about the Company;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Times;serif" w:hAnsi="Times New Roman;Times;serif"/>
                <w:b/>
                <w:i/>
                <w:sz w:val="20"/>
              </w:rPr>
              <w:t>Rule 10b5-1</w:t>
            </w:r>
            <w:r>
              <w:rPr>
                <w:caps w:val="false"/>
                <w:smallCaps w:val="false"/>
              </w:rPr>
              <w:t>”</w:t>
            </w:r>
            <w:r>
              <w:rPr>
                <w:rFonts w:ascii="Times New Roman;Times;serif" w:hAnsi="Times New Roman;Times;serif"/>
                <w:b w:val="false"/>
                <w:i w:val="false"/>
                <w:caps w:val="false"/>
                <w:smallCaps w:val="false"/>
                <w:sz w:val="20"/>
              </w:rPr>
              <w:t>) promulgated under the Securities Exchange Act of 1934, as amended (the “</w:t>
            </w:r>
            <w:r>
              <w:rPr>
                <w:rFonts w:ascii="Times New Roman;Times;serif" w:hAnsi="Times New Roman;Times;serif"/>
                <w:b/>
                <w:i/>
                <w:sz w:val="20"/>
              </w:rPr>
              <w:t>1934 Act</w:t>
            </w:r>
            <w:r>
              <w:rPr>
                <w:caps w:val="false"/>
                <w:smallCaps w:val="false"/>
              </w:rPr>
              <w:t>”</w:t>
            </w:r>
            <w:r>
              <w:rPr>
                <w:rFonts w:ascii="Times New Roman;Times;serif" w:hAnsi="Times New Roman;Times;serif"/>
                <w:b w:val="false"/>
                <w:i w:val="false"/>
                <w:caps w:val="false"/>
                <w:smallCaps w:val="false"/>
                <w:sz w:val="20"/>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no Covered Person shall directly or indirectly communicate (or “</w:t>
      </w:r>
      <w:r>
        <w:rPr>
          <w:rFonts w:ascii="Times New Roman;Times;serif" w:hAnsi="Times New Roman;Times;serif"/>
          <w:b/>
          <w:i/>
          <w:sz w:val="20"/>
        </w:rPr>
        <w:t>tip</w:t>
      </w:r>
      <w:r>
        <w:rPr>
          <w:rFonts w:ascii="Times New Roman;Times;serif" w:hAnsi="Times New Roman;Times;serif"/>
          <w:sz w:val="20"/>
        </w:rPr>
        <w:t>”) material, non- public information to anyone outside of the Company (except in accordance with the Company’s policies regarding the protection or authorized external disclosure of Company information) or to anyone within the Company other than on a need-to-know basis.</w:t>
      </w:r>
    </w:p>
    <w:tbl>
      <w:tblPr>
        <w:tblW w:w="3880" w:type="dxa"/>
        <w:jc w:val="left"/>
        <w:tblInd w:w="0" w:type="dxa"/>
        <w:tblLayout w:type="fixed"/>
        <w:tblCellMar>
          <w:top w:w="0" w:type="dxa"/>
          <w:left w:w="0" w:type="dxa"/>
          <w:bottom w:w="0" w:type="dxa"/>
          <w:right w:w="0" w:type="dxa"/>
        </w:tblCellMar>
      </w:tblPr>
      <w:tblGrid>
        <w:gridCol w:w="335"/>
        <w:gridCol w:w="3545"/>
      </w:tblGrid>
      <w:tr>
        <w:trPr/>
        <w:tc>
          <w:tcPr>
            <w:tcW w:w="33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 xml:space="preserve">III. </w:t>
            </w:r>
          </w:p>
        </w:tc>
        <w:tc>
          <w:tcPr>
            <w:tcW w:w="354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EXPLANATION OF INSIDER TRADING</w:t>
            </w:r>
          </w:p>
        </w:tc>
      </w:tr>
    </w:tbl>
    <w:p>
      <w:pPr>
        <w:pStyle w:val="TextBody"/>
        <w:bidi w:val="0"/>
        <w:spacing w:before="0" w:after="200"/>
        <w:ind w:left="0" w:right="0" w:firstLine="720"/>
        <w:jc w:val="both"/>
        <w:rPr/>
      </w:pPr>
      <w:r>
        <w:rPr/>
        <w:t>“</w:t>
      </w:r>
      <w:r>
        <w:rPr>
          <w:rFonts w:ascii="Times New Roman;Times;serif" w:hAnsi="Times New Roman;Times;serif"/>
          <w:b/>
          <w:i/>
          <w:sz w:val="20"/>
        </w:rPr>
        <w:t>Insider trading</w:t>
      </w:r>
      <w:r>
        <w:rPr>
          <w:rFonts w:ascii="Times New Roman;Times;serif" w:hAnsi="Times New Roman;Times;serif"/>
          <w:sz w:val="20"/>
        </w:rPr>
        <w:t>” refers to the purchase or sale of a security while in possession of “material,” “non-public” information relating to the security or its issuer.</w:t>
      </w:r>
    </w:p>
    <w:p>
      <w:pPr>
        <w:pStyle w:val="TextBody"/>
        <w:bidi w:val="0"/>
        <w:spacing w:before="0" w:after="200"/>
        <w:ind w:left="0" w:right="0" w:firstLine="720"/>
        <w:jc w:val="both"/>
        <w:rPr/>
      </w:pPr>
      <w:r>
        <w:rPr/>
        <w:t>“</w:t>
      </w:r>
      <w:r>
        <w:rPr>
          <w:rFonts w:ascii="Times New Roman;Times;serif" w:hAnsi="Times New Roman;Times;serif"/>
          <w:b/>
          <w:i/>
          <w:sz w:val="20"/>
        </w:rPr>
        <w:t>Securities</w:t>
      </w:r>
      <w:r>
        <w:rPr>
          <w:rFonts w:ascii="Times New Roman;Times;serif" w:hAnsi="Times New Roman;Times;serif"/>
          <w:sz w:val="20"/>
        </w:rPr>
        <w:t>” include stocks, bonds, notes, debentures, options, warrants and other convertible securities, as well as derivative instruments.</w:t>
      </w:r>
    </w:p>
    <w:p>
      <w:pPr>
        <w:pStyle w:val="TextBody"/>
        <w:bidi w:val="0"/>
        <w:spacing w:before="0" w:after="200"/>
        <w:ind w:left="0" w:right="0" w:firstLine="720"/>
        <w:jc w:val="both"/>
        <w:rPr/>
      </w:pPr>
      <w:r>
        <w:rPr/>
        <w:t>“</w:t>
      </w:r>
      <w:r>
        <w:rPr>
          <w:rFonts w:ascii="Times New Roman;Times;serif" w:hAnsi="Times New Roman;Times;serif"/>
          <w:b/>
          <w:i/>
          <w:sz w:val="20"/>
        </w:rPr>
        <w:t>Purchase</w:t>
      </w:r>
      <w:r>
        <w:rPr>
          <w:rFonts w:ascii="Times New Roman;Times;serif" w:hAnsi="Times New Roman;Times;serif"/>
          <w:sz w:val="20"/>
        </w:rPr>
        <w:t>” and “</w:t>
      </w:r>
      <w:r>
        <w:rPr>
          <w:rFonts w:ascii="Times New Roman;Times;serif" w:hAnsi="Times New Roman;Times;serif"/>
          <w:b/>
          <w:i/>
          <w:sz w:val="20"/>
        </w:rPr>
        <w:t>sale</w:t>
      </w:r>
      <w:r>
        <w:rPr>
          <w:rFonts w:ascii="Times New Roman;Times;serif" w:hAnsi="Times New Roman;Times;serif"/>
          <w:sz w:val="20"/>
        </w:rPr>
        <w:t>” are defined broadly under the federal securities law. “</w:t>
      </w:r>
      <w:r>
        <w:rPr>
          <w:rFonts w:ascii="Times New Roman;Times;serif" w:hAnsi="Times New Roman;Times;serif"/>
          <w:i/>
          <w:sz w:val="20"/>
        </w:rPr>
        <w:t>Purchase”</w:t>
      </w:r>
      <w:r>
        <w:rPr>
          <w:rFonts w:ascii="Times New Roman;Times;serif" w:hAnsi="Times New Roman;Times;serif"/>
          <w:sz w:val="20"/>
        </w:rPr>
        <w:t xml:space="preserve"> includes not only the actual purchase of a security, but any contract to purchase or otherwise acquire a security. “</w:t>
      </w:r>
      <w:r>
        <w:rPr>
          <w:rFonts w:ascii="Times New Roman;Times;serif" w:hAnsi="Times New Roman;Times;serif"/>
          <w:i/>
          <w:sz w:val="20"/>
        </w:rPr>
        <w:t>Sale”</w:t>
      </w:r>
      <w:r>
        <w:rPr>
          <w:rFonts w:ascii="Times New Roman;Times;serif" w:hAnsi="Times New Roman;Times;serif"/>
          <w:sz w:val="20"/>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It is generally understood that insider trading includes the following:</w:t>
      </w:r>
    </w:p>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by insiders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by persons other than insiders while in possession of material, non-public information, if the information either was given in breach of an insider’s fiduciary duty to keep it confidential or was misappropriated;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communicating or tipping material, non-public  information to others, including recommending the purchase or sale of a security while in possession of such information.</w:t>
            </w:r>
          </w:p>
        </w:tc>
      </w:tr>
    </w:tbl>
    <w:tbl>
      <w:tblPr>
        <w:tblW w:w="2298" w:type="dxa"/>
        <w:jc w:val="left"/>
        <w:tblInd w:w="0" w:type="dxa"/>
        <w:tblLayout w:type="fixed"/>
        <w:tblCellMar>
          <w:top w:w="0" w:type="dxa"/>
          <w:left w:w="0" w:type="dxa"/>
          <w:bottom w:w="0" w:type="dxa"/>
          <w:right w:w="0" w:type="dxa"/>
        </w:tblCellMar>
      </w:tblPr>
      <w:tblGrid>
        <w:gridCol w:w="23"/>
        <w:gridCol w:w="245"/>
        <w:gridCol w:w="20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A. </w:t>
            </w:r>
          </w:p>
        </w:tc>
        <w:tc>
          <w:tcPr>
            <w:tcW w:w="203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What Facts are Material?</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materiality of a fact depends upon the circumstances. A fact is considered “material” if there is a substantial likelihood that a reasonable investor would consider it important in making a decision to</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Examples of material information include (but are not limited to) information about:</w:t>
      </w:r>
    </w:p>
    <w:tbl>
      <w:tblPr>
        <w:tblW w:w="3468" w:type="dxa"/>
        <w:jc w:val="left"/>
        <w:tblInd w:w="0" w:type="dxa"/>
        <w:tblLayout w:type="fixed"/>
        <w:tblCellMar>
          <w:top w:w="0" w:type="dxa"/>
          <w:left w:w="0" w:type="dxa"/>
          <w:bottom w:w="0" w:type="dxa"/>
          <w:right w:w="0" w:type="dxa"/>
        </w:tblCellMar>
      </w:tblPr>
      <w:tblGrid>
        <w:gridCol w:w="23"/>
        <w:gridCol w:w="17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earnings or earnings forecasts;</w:t>
            </w:r>
          </w:p>
        </w:tc>
      </w:tr>
    </w:tbl>
    <w:tbl>
      <w:tblPr>
        <w:tblW w:w="5043" w:type="dxa"/>
        <w:jc w:val="left"/>
        <w:tblInd w:w="0" w:type="dxa"/>
        <w:tblLayout w:type="fixed"/>
        <w:tblCellMar>
          <w:top w:w="0" w:type="dxa"/>
          <w:left w:w="0" w:type="dxa"/>
          <w:bottom w:w="0" w:type="dxa"/>
          <w:right w:w="0" w:type="dxa"/>
        </w:tblCellMar>
      </w:tblPr>
      <w:tblGrid>
        <w:gridCol w:w="23"/>
        <w:gridCol w:w="170"/>
        <w:gridCol w:w="48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mergers, acquisitions, tender offers or dispositions;</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new products or product developments;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business developments such as trial results, developments regarding strategic collaborators or the status of regulatory submissions;</w:t>
            </w:r>
          </w:p>
        </w:tc>
      </w:tr>
    </w:tbl>
    <w:tbl>
      <w:tblPr>
        <w:tblW w:w="9633" w:type="dxa"/>
        <w:jc w:val="left"/>
        <w:tblInd w:w="0" w:type="dxa"/>
        <w:tblLayout w:type="fixed"/>
        <w:tblCellMar>
          <w:top w:w="0" w:type="dxa"/>
          <w:left w:w="0" w:type="dxa"/>
          <w:bottom w:w="0" w:type="dxa"/>
          <w:right w:w="0" w:type="dxa"/>
        </w:tblCellMar>
      </w:tblPr>
      <w:tblGrid>
        <w:gridCol w:w="23"/>
        <w:gridCol w:w="170"/>
        <w:gridCol w:w="9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incidents and risks with respect to cybersecurity, data protection and personally identifiable information;</w:t>
            </w:r>
          </w:p>
        </w:tc>
      </w:tr>
    </w:tbl>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or control changes;</w:t>
            </w:r>
          </w:p>
        </w:tc>
      </w:tr>
    </w:tbl>
    <w:tbl>
      <w:tblPr>
        <w:tblW w:w="8898" w:type="dxa"/>
        <w:jc w:val="left"/>
        <w:tblInd w:w="0" w:type="dxa"/>
        <w:tblLayout w:type="fixed"/>
        <w:tblCellMar>
          <w:top w:w="0" w:type="dxa"/>
          <w:left w:w="0" w:type="dxa"/>
          <w:bottom w:w="0" w:type="dxa"/>
          <w:right w:w="0" w:type="dxa"/>
        </w:tblCellMar>
      </w:tblPr>
      <w:tblGrid>
        <w:gridCol w:w="23"/>
        <w:gridCol w:w="170"/>
        <w:gridCol w:w="8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financing developments including pending public sales or offerings of debt or equity securities;</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on borrowings;</w:t>
            </w:r>
          </w:p>
        </w:tc>
      </w:tr>
    </w:tbl>
    <w:tbl>
      <w:tblPr>
        <w:tblW w:w="1668" w:type="dxa"/>
        <w:jc w:val="left"/>
        <w:tblInd w:w="0" w:type="dxa"/>
        <w:tblLayout w:type="fixed"/>
        <w:tblCellMar>
          <w:top w:w="0" w:type="dxa"/>
          <w:left w:w="0" w:type="dxa"/>
          <w:bottom w:w="0" w:type="dxa"/>
          <w:right w:w="0" w:type="dxa"/>
        </w:tblCellMar>
      </w:tblPr>
      <w:tblGrid>
        <w:gridCol w:w="23"/>
        <w:gridCol w:w="170"/>
        <w:gridCol w:w="1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bankruptcies; and</w:t>
            </w:r>
          </w:p>
        </w:tc>
      </w:tr>
    </w:tbl>
    <w:tbl>
      <w:tblPr>
        <w:tblW w:w="3663" w:type="dxa"/>
        <w:jc w:val="left"/>
        <w:tblInd w:w="0" w:type="dxa"/>
        <w:tblLayout w:type="fixed"/>
        <w:tblCellMar>
          <w:top w:w="0" w:type="dxa"/>
          <w:left w:w="0" w:type="dxa"/>
          <w:bottom w:w="0" w:type="dxa"/>
          <w:right w:w="0" w:type="dxa"/>
        </w:tblCellMar>
      </w:tblPr>
      <w:tblGrid>
        <w:gridCol w:w="23"/>
        <w:gridCol w:w="170"/>
        <w:gridCol w:w="3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litigation or regulatory actions.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Moreover, material information does not have to be related to a company’s business. For example, the contents of a forthcoming newspaper column that is expected to affect the market price of a security can be material.</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good general rule of thumb: </w:t>
      </w:r>
      <w:r>
        <w:rPr>
          <w:rFonts w:ascii="Times New Roman;Times;serif" w:hAnsi="Times New Roman;Times;serif"/>
          <w:b/>
          <w:sz w:val="20"/>
        </w:rPr>
        <w:t xml:space="preserve">When in doubt, do not trade. </w:t>
      </w:r>
    </w:p>
    <w:tbl>
      <w:tblPr>
        <w:tblW w:w="1968" w:type="dxa"/>
        <w:jc w:val="left"/>
        <w:tblInd w:w="0" w:type="dxa"/>
        <w:tblLayout w:type="fixed"/>
        <w:tblCellMar>
          <w:top w:w="0" w:type="dxa"/>
          <w:left w:w="0" w:type="dxa"/>
          <w:bottom w:w="0" w:type="dxa"/>
          <w:right w:w="0" w:type="dxa"/>
        </w:tblCellMar>
      </w:tblPr>
      <w:tblGrid>
        <w:gridCol w:w="23"/>
        <w:gridCol w:w="245"/>
        <w:gridCol w:w="17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 xml:space="preserve">B. </w:t>
            </w:r>
          </w:p>
        </w:tc>
        <w:tc>
          <w:tcPr>
            <w:tcW w:w="1700" w:type="dxa"/>
            <w:tcBorders/>
            <w:vAlign w:val="center"/>
          </w:tcPr>
          <w:p>
            <w:pPr>
              <w:pStyle w:val="TableContents"/>
              <w:bidi w:val="0"/>
              <w:spacing w:before="0" w:after="200"/>
              <w:jc w:val="left"/>
              <w:rPr>
                <w:rFonts w:ascii="Times New Roman;Times;serif" w:hAnsi="Times New Roman;Times;serif"/>
                <w:sz w:val="20"/>
                <w:u w:val="single"/>
              </w:rPr>
            </w:pPr>
            <w:r>
              <w:rPr>
                <w:rFonts w:ascii="Times New Roman;Times;serif" w:hAnsi="Times New Roman;Times;serif"/>
                <w:sz w:val="20"/>
                <w:u w:val="single"/>
              </w:rPr>
              <w:t>What is Non-Public?</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Times;serif" w:hAnsi="Times New Roman;Times;serif"/>
          <w:sz w:val="20"/>
          <w:u w:val="single"/>
        </w:rPr>
        <w:t>Dow Jones</w:t>
      </w:r>
      <w:r>
        <w:rPr>
          <w:rFonts w:ascii="Times New Roman;Times;serif" w:hAnsi="Times New Roman;Times;serif"/>
          <w:sz w:val="20"/>
        </w:rPr>
        <w:t xml:space="preserve">, </w:t>
      </w:r>
      <w:r>
        <w:rPr>
          <w:rFonts w:ascii="Times New Roman;Times;serif" w:hAnsi="Times New Roman;Times;serif"/>
          <w:sz w:val="20"/>
          <w:u w:val="single"/>
        </w:rPr>
        <w:t>Business Wire</w:t>
      </w:r>
      <w:r>
        <w:rPr>
          <w:rFonts w:ascii="Times New Roman;Times;serif" w:hAnsi="Times New Roman;Times;serif"/>
          <w:sz w:val="20"/>
        </w:rPr>
        <w:t xml:space="preserve">, </w:t>
      </w:r>
      <w:r>
        <w:rPr>
          <w:rFonts w:ascii="Times New Roman;Times;serif" w:hAnsi="Times New Roman;Times;serif"/>
          <w:sz w:val="20"/>
          <w:u w:val="single"/>
        </w:rPr>
        <w:t>Reuters</w:t>
      </w:r>
      <w:r>
        <w:rPr>
          <w:rFonts w:ascii="Times New Roman;Times;serif" w:hAnsi="Times New Roman;Times;serif"/>
          <w:sz w:val="20"/>
        </w:rPr>
        <w:t xml:space="preserve">, </w:t>
      </w:r>
      <w:r>
        <w:rPr>
          <w:rFonts w:ascii="Times New Roman;Times;serif" w:hAnsi="Times New Roman;Times;serif"/>
          <w:sz w:val="20"/>
          <w:u w:val="single"/>
        </w:rPr>
        <w:t>The Wall Street Journal</w:t>
      </w:r>
      <w:r>
        <w:rPr>
          <w:rFonts w:ascii="Times New Roman;Times;serif" w:hAnsi="Times New Roman;Times;serif"/>
          <w:sz w:val="20"/>
        </w:rPr>
        <w:t xml:space="preserve">, </w:t>
      </w:r>
      <w:r>
        <w:rPr>
          <w:rFonts w:ascii="Times New Roman;Times;serif" w:hAnsi="Times New Roman;Times;serif"/>
          <w:sz w:val="20"/>
          <w:u w:val="single"/>
        </w:rPr>
        <w:t>Associated Press</w:t>
      </w:r>
      <w:r>
        <w:rPr>
          <w:rFonts w:ascii="Times New Roman;Times;serif" w:hAnsi="Times New Roman;Times;serif"/>
          <w:sz w:val="20"/>
        </w:rPr>
        <w:t xml:space="preserve">, or </w:t>
      </w:r>
      <w:r>
        <w:rPr>
          <w:rFonts w:ascii="Times New Roman;Times;serif" w:hAnsi="Times New Roman;Times;serif"/>
          <w:sz w:val="20"/>
          <w:u w:val="single"/>
        </w:rPr>
        <w:t>United Press International</w:t>
      </w:r>
      <w:r>
        <w:rPr>
          <w:rFonts w:ascii="Times New Roman;Times;serif" w:hAnsi="Times New Roman;Times;serif"/>
          <w:sz w:val="20"/>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Times;serif" w:hAnsi="Times New Roman;Times;serif"/>
          <w:b/>
          <w:i/>
          <w:sz w:val="20"/>
        </w:rPr>
        <w:t>SEC</w:t>
      </w:r>
      <w:r>
        <w:rPr>
          <w:rFonts w:ascii="Times New Roman;Times;serif" w:hAnsi="Times New Roman;Times;serif"/>
          <w:sz w:val="20"/>
        </w:rPr>
        <w:t>”) that are available on the SEC’s web site.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For the purposes of this Policy, a “trading day” is a day on which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Chief Financial Officer.</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788" w:type="dxa"/>
        <w:jc w:val="left"/>
        <w:tblInd w:w="0" w:type="dxa"/>
        <w:tblLayout w:type="fixed"/>
        <w:tblCellMar>
          <w:top w:w="0" w:type="dxa"/>
          <w:left w:w="0" w:type="dxa"/>
          <w:bottom w:w="0" w:type="dxa"/>
          <w:right w:w="0" w:type="dxa"/>
        </w:tblCellMar>
      </w:tblPr>
      <w:tblGrid>
        <w:gridCol w:w="23"/>
        <w:gridCol w:w="245"/>
        <w:gridCol w:w="15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C. </w:t>
            </w:r>
          </w:p>
        </w:tc>
        <w:tc>
          <w:tcPr>
            <w:tcW w:w="152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Who is an Insider?</w:t>
            </w:r>
          </w:p>
        </w:tc>
      </w:tr>
    </w:tbl>
    <w:p>
      <w:pPr>
        <w:pStyle w:val="TextBody"/>
        <w:bidi w:val="0"/>
        <w:spacing w:before="0" w:after="200"/>
        <w:ind w:left="0" w:right="0" w:firstLine="720"/>
        <w:jc w:val="both"/>
        <w:rPr/>
      </w:pPr>
      <w:r>
        <w:rPr/>
        <w:t>“</w:t>
      </w:r>
      <w:r>
        <w:rPr>
          <w:rFonts w:ascii="Times New Roman;Times;serif" w:hAnsi="Times New Roman;Times;serif"/>
          <w:sz w:val="20"/>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Insiders subject to this Policy are responsible for ensuring that their Related Parties also comply with this Policy, and such Related Parties should be treated for the purposes of this Policy and applicable securities laws as if they were for the such insider’s own account.</w:t>
      </w:r>
    </w:p>
    <w:tbl>
      <w:tblPr>
        <w:tblW w:w="3423" w:type="dxa"/>
        <w:jc w:val="left"/>
        <w:tblInd w:w="0" w:type="dxa"/>
        <w:tblLayout w:type="fixed"/>
        <w:tblCellMar>
          <w:top w:w="0" w:type="dxa"/>
          <w:left w:w="0" w:type="dxa"/>
          <w:bottom w:w="0" w:type="dxa"/>
          <w:right w:w="0" w:type="dxa"/>
        </w:tblCellMar>
      </w:tblPr>
      <w:tblGrid>
        <w:gridCol w:w="23"/>
        <w:gridCol w:w="245"/>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D. </w:t>
            </w:r>
          </w:p>
        </w:tc>
        <w:tc>
          <w:tcPr>
            <w:tcW w:w="315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Trading by Persons Other than Insiders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Insiders may be liable for communicating or tipping material, non-public information to a third party (“</w:t>
      </w:r>
      <w:r>
        <w:rPr>
          <w:rFonts w:ascii="Times New Roman;Times;serif" w:hAnsi="Times New Roman;Times;serif"/>
          <w:b/>
          <w:i/>
          <w:sz w:val="20"/>
        </w:rPr>
        <w:t>tippee</w:t>
      </w:r>
      <w:r>
        <w:rPr>
          <w:rFonts w:ascii="Times New Roman;Times;serif" w:hAnsi="Times New Roman;Times;serif"/>
          <w:sz w:val="20"/>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tbl>
      <w:tblPr>
        <w:tblW w:w="3618" w:type="dxa"/>
        <w:jc w:val="left"/>
        <w:tblInd w:w="0" w:type="dxa"/>
        <w:tblLayout w:type="fixed"/>
        <w:tblCellMar>
          <w:top w:w="0" w:type="dxa"/>
          <w:left w:w="0" w:type="dxa"/>
          <w:bottom w:w="0" w:type="dxa"/>
          <w:right w:w="0" w:type="dxa"/>
        </w:tblCellMar>
      </w:tblPr>
      <w:tblGrid>
        <w:gridCol w:w="23"/>
        <w:gridCol w:w="23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E. </w:t>
            </w:r>
          </w:p>
        </w:tc>
        <w:tc>
          <w:tcPr>
            <w:tcW w:w="336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Penalties for Engaging in Insider Trading</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tbl>
      <w:tblPr>
        <w:tblW w:w="2658" w:type="dxa"/>
        <w:jc w:val="left"/>
        <w:tblInd w:w="0" w:type="dxa"/>
        <w:tblLayout w:type="fixed"/>
        <w:tblCellMar>
          <w:top w:w="0" w:type="dxa"/>
          <w:left w:w="0" w:type="dxa"/>
          <w:bottom w:w="0" w:type="dxa"/>
          <w:right w:w="0" w:type="dxa"/>
        </w:tblCellMar>
      </w:tblPr>
      <w:tblGrid>
        <w:gridCol w:w="23"/>
        <w:gridCol w:w="17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administrative sanctions;</w:t>
            </w:r>
          </w:p>
        </w:tc>
      </w:tr>
    </w:tbl>
    <w:tbl>
      <w:tblPr>
        <w:tblW w:w="4878" w:type="dxa"/>
        <w:jc w:val="left"/>
        <w:tblInd w:w="0" w:type="dxa"/>
        <w:tblLayout w:type="fixed"/>
        <w:tblCellMar>
          <w:top w:w="0" w:type="dxa"/>
          <w:left w:w="0" w:type="dxa"/>
          <w:bottom w:w="0" w:type="dxa"/>
          <w:right w:w="0" w:type="dxa"/>
        </w:tblCellMar>
      </w:tblPr>
      <w:tblGrid>
        <w:gridCol w:w="23"/>
        <w:gridCol w:w="170"/>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industry self-regulatory organization sanctions;</w:t>
            </w:r>
          </w:p>
        </w:tc>
      </w:tr>
    </w:tbl>
    <w:tbl>
      <w:tblPr>
        <w:tblW w:w="1623" w:type="dxa"/>
        <w:jc w:val="left"/>
        <w:tblInd w:w="0" w:type="dxa"/>
        <w:tblLayout w:type="fixed"/>
        <w:tblCellMar>
          <w:top w:w="0" w:type="dxa"/>
          <w:left w:w="0" w:type="dxa"/>
          <w:bottom w:w="0" w:type="dxa"/>
          <w:right w:w="0" w:type="dxa"/>
        </w:tblCellMar>
      </w:tblPr>
      <w:tblGrid>
        <w:gridCol w:w="23"/>
        <w:gridCol w:w="17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injunctions;</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awards to private plaintiffs;</w:t>
            </w:r>
          </w:p>
        </w:tc>
      </w:tr>
    </w:tbl>
    <w:tbl>
      <w:tblPr>
        <w:tblW w:w="2418" w:type="dxa"/>
        <w:jc w:val="left"/>
        <w:tblInd w:w="0" w:type="dxa"/>
        <w:tblLayout w:type="fixed"/>
        <w:tblCellMar>
          <w:top w:w="0" w:type="dxa"/>
          <w:left w:w="0" w:type="dxa"/>
          <w:bottom w:w="0" w:type="dxa"/>
          <w:right w:w="0" w:type="dxa"/>
        </w:tblCellMar>
      </w:tblPr>
      <w:tblGrid>
        <w:gridCol w:w="23"/>
        <w:gridCol w:w="17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disgorgement of all profits;</w:t>
            </w:r>
          </w:p>
        </w:tc>
      </w:tr>
    </w:tbl>
    <w:tbl>
      <w:tblPr>
        <w:tblW w:w="7488" w:type="dxa"/>
        <w:jc w:val="left"/>
        <w:tblInd w:w="0" w:type="dxa"/>
        <w:tblLayout w:type="fixed"/>
        <w:tblCellMar>
          <w:top w:w="0" w:type="dxa"/>
          <w:left w:w="0" w:type="dxa"/>
          <w:bottom w:w="0" w:type="dxa"/>
          <w:right w:w="0" w:type="dxa"/>
        </w:tblCellMar>
      </w:tblPr>
      <w:tblGrid>
        <w:gridCol w:w="23"/>
        <w:gridCol w:w="170"/>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fines for the violator of up to three times the amount of profit gained or loss avoided;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fines for the employer or other controlling person of a violator (i.e., where the violator is an employee or other controlled person) of up to the greater of $2,140,973 (subject to adjustment for inflation) or three times the amount of profit gained or loss avoided by the violator;</w:t>
            </w:r>
          </w:p>
        </w:tc>
      </w:tr>
    </w:tbl>
    <w:tbl>
      <w:tblPr>
        <w:tblW w:w="7548" w:type="dxa"/>
        <w:jc w:val="left"/>
        <w:tblInd w:w="0" w:type="dxa"/>
        <w:tblLayout w:type="fixed"/>
        <w:tblCellMar>
          <w:top w:w="0" w:type="dxa"/>
          <w:left w:w="0" w:type="dxa"/>
          <w:bottom w:w="0" w:type="dxa"/>
          <w:right w:w="0" w:type="dxa"/>
        </w:tblCellMar>
      </w:tblPr>
      <w:tblGrid>
        <w:gridCol w:w="23"/>
        <w:gridCol w:w="170"/>
        <w:gridCol w:w="7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fines for individual violators of up to $5,000,000 ($25,000,000 for an entity); and</w:t>
            </w:r>
          </w:p>
        </w:tc>
      </w:tr>
    </w:tbl>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jail sentences of up to 20 years.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tbl>
      <w:tblPr>
        <w:tblW w:w="5298" w:type="dxa"/>
        <w:jc w:val="left"/>
        <w:tblInd w:w="0" w:type="dxa"/>
        <w:tblLayout w:type="fixed"/>
        <w:tblCellMar>
          <w:top w:w="0" w:type="dxa"/>
          <w:left w:w="0" w:type="dxa"/>
          <w:bottom w:w="0" w:type="dxa"/>
          <w:right w:w="0" w:type="dxa"/>
        </w:tblCellMar>
      </w:tblPr>
      <w:tblGrid>
        <w:gridCol w:w="23"/>
        <w:gridCol w:w="215"/>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F. </w:t>
            </w:r>
          </w:p>
        </w:tc>
        <w:tc>
          <w:tcPr>
            <w:tcW w:w="506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Size of Transaction and Reason for Transaction Do Not Matter</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tbl>
      <w:tblPr>
        <w:tblW w:w="2538" w:type="dxa"/>
        <w:jc w:val="left"/>
        <w:tblInd w:w="0" w:type="dxa"/>
        <w:tblLayout w:type="fixed"/>
        <w:tblCellMar>
          <w:top w:w="0" w:type="dxa"/>
          <w:left w:w="0" w:type="dxa"/>
          <w:bottom w:w="0" w:type="dxa"/>
          <w:right w:w="0" w:type="dxa"/>
        </w:tblCellMar>
      </w:tblPr>
      <w:tblGrid>
        <w:gridCol w:w="23"/>
        <w:gridCol w:w="200"/>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G.</w:t>
            </w:r>
          </w:p>
        </w:tc>
        <w:tc>
          <w:tcPr>
            <w:tcW w:w="231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Examples of Insider Trading</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Examples of insider trading cases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brought against corporate officers, directors, and employees who traded in a company’s securities after learning of significant confidential corporate developments;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friends, business associates, family members and other tippees of such officers, directors, and employees who traded in the securities after receiving such information;</w:t>
            </w:r>
          </w:p>
        </w:tc>
      </w:tr>
    </w:tbl>
    <w:tbl>
      <w:tblPr>
        <w:tblW w:w="7953" w:type="dxa"/>
        <w:jc w:val="left"/>
        <w:tblInd w:w="0" w:type="dxa"/>
        <w:tblLayout w:type="fixed"/>
        <w:tblCellMar>
          <w:top w:w="0" w:type="dxa"/>
          <w:left w:w="0" w:type="dxa"/>
          <w:bottom w:w="0" w:type="dxa"/>
          <w:right w:w="0" w:type="dxa"/>
        </w:tblCellMar>
      </w:tblPr>
      <w:tblGrid>
        <w:gridCol w:w="23"/>
        <w:gridCol w:w="170"/>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employees who learned of such information in the course of their employment; and</w:t>
            </w:r>
          </w:p>
        </w:tc>
      </w:tr>
    </w:tbl>
    <w:tbl>
      <w:tblPr>
        <w:tblW w:w="8808" w:type="dxa"/>
        <w:jc w:val="left"/>
        <w:tblInd w:w="0" w:type="dxa"/>
        <w:tblLayout w:type="fixed"/>
        <w:tblCellMar>
          <w:top w:w="0" w:type="dxa"/>
          <w:left w:w="0" w:type="dxa"/>
          <w:bottom w:w="0" w:type="dxa"/>
          <w:right w:w="0" w:type="dxa"/>
        </w:tblCellMar>
      </w:tblPr>
      <w:tblGrid>
        <w:gridCol w:w="23"/>
        <w:gridCol w:w="170"/>
        <w:gridCol w:w="8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persons who misappropriated, and took advantage of, confidential information from their employers.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are illustrations of insider trading violations. These illustrations are hypothetical and, consequently, not intended to reflect on the actual activities or business of the Company or any other entity.</w:t>
      </w:r>
    </w:p>
    <w:p>
      <w:pPr>
        <w:pStyle w:val="TextBody"/>
        <w:bidi w:val="0"/>
        <w:spacing w:before="0" w:after="200"/>
        <w:ind w:left="720" w:right="0" w:hanging="0"/>
        <w:jc w:val="both"/>
        <w:rPr>
          <w:rFonts w:ascii="Times New Roman;Times;serif" w:hAnsi="Times New Roman;Times;serif"/>
          <w:sz w:val="20"/>
          <w:u w:val="single"/>
        </w:rPr>
      </w:pPr>
      <w:r>
        <w:rPr>
          <w:rFonts w:ascii="Times New Roman;Times;serif" w:hAnsi="Times New Roman;Times;serif"/>
          <w:sz w:val="20"/>
          <w:u w:val="single"/>
        </w:rPr>
        <w:t>Trading by Insider</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pStyle w:val="TextBody"/>
        <w:bidi w:val="0"/>
        <w:spacing w:before="0" w:after="200"/>
        <w:ind w:left="720" w:right="0" w:hanging="0"/>
        <w:jc w:val="both"/>
        <w:rPr>
          <w:rFonts w:ascii="Times New Roman;Times;serif" w:hAnsi="Times New Roman;Times;serif"/>
          <w:sz w:val="20"/>
          <w:u w:val="single"/>
        </w:rPr>
      </w:pPr>
      <w:r>
        <w:rPr>
          <w:rFonts w:ascii="Times New Roman;Times;serif" w:hAnsi="Times New Roman;Times;serif"/>
          <w:sz w:val="20"/>
          <w:u w:val="single"/>
        </w:rPr>
        <w:t>Trading by Tippee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tbl>
      <w:tblPr>
        <w:tblW w:w="4938" w:type="dxa"/>
        <w:jc w:val="left"/>
        <w:tblInd w:w="0" w:type="dxa"/>
        <w:tblLayout w:type="fixed"/>
        <w:tblCellMar>
          <w:top w:w="0" w:type="dxa"/>
          <w:left w:w="0" w:type="dxa"/>
          <w:bottom w:w="0" w:type="dxa"/>
          <w:right w:w="0" w:type="dxa"/>
        </w:tblCellMar>
      </w:tblPr>
      <w:tblGrid>
        <w:gridCol w:w="23"/>
        <w:gridCol w:w="245"/>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H. </w:t>
            </w:r>
          </w:p>
        </w:tc>
        <w:tc>
          <w:tcPr>
            <w:tcW w:w="467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Prohibition of Records Falsification and False Statements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Section 13(b)(2) of the 1934 Act requires companies subject to the Act to maintain proper internal books and records and to devise and maintain an adequate system of internal accounting controls. The SEC</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tbl>
      <w:tblPr>
        <w:tblW w:w="6370" w:type="dxa"/>
        <w:jc w:val="left"/>
        <w:tblInd w:w="0" w:type="dxa"/>
        <w:tblLayout w:type="fixed"/>
        <w:tblCellMar>
          <w:top w:w="0" w:type="dxa"/>
          <w:left w:w="0" w:type="dxa"/>
          <w:bottom w:w="0" w:type="dxa"/>
          <w:right w:w="0" w:type="dxa"/>
        </w:tblCellMar>
      </w:tblPr>
      <w:tblGrid>
        <w:gridCol w:w="320"/>
        <w:gridCol w:w="6050"/>
      </w:tblGrid>
      <w:tr>
        <w:trPr/>
        <w:tc>
          <w:tcPr>
            <w:tcW w:w="32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 xml:space="preserve">IV. </w:t>
            </w:r>
          </w:p>
        </w:tc>
        <w:tc>
          <w:tcPr>
            <w:tcW w:w="605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STATEMENT OF PROCEDURES PREVENTING INSIDER TRADING</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procedures have been established, and will be maintained and enforced, by the Company to prevent insider trading.</w:t>
      </w:r>
    </w:p>
    <w:tbl>
      <w:tblPr>
        <w:tblW w:w="2583" w:type="dxa"/>
        <w:jc w:val="left"/>
        <w:tblInd w:w="0" w:type="dxa"/>
        <w:tblLayout w:type="fixed"/>
        <w:tblCellMar>
          <w:top w:w="0" w:type="dxa"/>
          <w:left w:w="0" w:type="dxa"/>
          <w:bottom w:w="0" w:type="dxa"/>
          <w:right w:w="0" w:type="dxa"/>
        </w:tblCellMar>
      </w:tblPr>
      <w:tblGrid>
        <w:gridCol w:w="23"/>
        <w:gridCol w:w="24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A. </w:t>
            </w:r>
          </w:p>
        </w:tc>
        <w:tc>
          <w:tcPr>
            <w:tcW w:w="231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Pre-Clearance Requirements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To provide assistance in preventing inadvertent violations of applicable securities laws and to avoid the appearance of impropriety in connection with the purchase and sale of the Company’s securities, </w:t>
      </w:r>
      <w:r>
        <w:rPr>
          <w:rFonts w:ascii="Times New Roman;Times;serif" w:hAnsi="Times New Roman;Times;serif"/>
          <w:b/>
          <w:sz w:val="20"/>
        </w:rPr>
        <w:t>all transactions in the Company’s securities (including without limitation, acquisitions and dispositions of Company stock, the exercise of stock options and the sale of Company stock issued upon exercise of stock options) by officers, directors and such other Company Personnel as are designated from time to time by the Board of Directors, the Chief Executive Officer or the Chief Financial Officer as being subject to this pre-clearance process, as well as such officer’s, director’s and other Company Personnel’s Related Parties (each, a “</w:t>
      </w:r>
      <w:r>
        <w:rPr>
          <w:rFonts w:ascii="Times New Roman;Times;serif" w:hAnsi="Times New Roman;Times;serif"/>
          <w:b/>
          <w:i/>
          <w:sz w:val="20"/>
        </w:rPr>
        <w:t>Pre-Clearance Person</w:t>
      </w:r>
      <w:r>
        <w:rPr>
          <w:rFonts w:ascii="Times New Roman;Times;serif" w:hAnsi="Times New Roman;Times;serif"/>
          <w:sz w:val="20"/>
        </w:rPr>
        <w:t>”</w:t>
      </w:r>
      <w:r>
        <w:rPr>
          <w:rFonts w:ascii="Times New Roman;Times;serif" w:hAnsi="Times New Roman;Times;serif"/>
          <w:b/>
          <w:sz w:val="20"/>
        </w:rPr>
        <w:t>) must be pre-cleared</w:t>
      </w:r>
      <w:r>
        <w:rPr>
          <w:rFonts w:ascii="Times New Roman;Times;serif" w:hAnsi="Times New Roman;Times;serif"/>
          <w:sz w:val="20"/>
        </w:rPr>
        <w:t xml:space="preserve"> by the Company’s Chief Financial Officer. Those designated as Pre-Clearance Persons are listed on </w:t>
      </w:r>
      <w:r>
        <w:rPr>
          <w:rFonts w:ascii="Times New Roman;Times;serif" w:hAnsi="Times New Roman;Times;serif"/>
          <w:sz w:val="20"/>
          <w:u w:val="single"/>
        </w:rPr>
        <w:t>Schedule I</w:t>
      </w:r>
      <w:r>
        <w:rPr>
          <w:rFonts w:ascii="Times New Roman;Times;serif" w:hAnsi="Times New Roman;Times;serif"/>
          <w:sz w:val="20"/>
        </w:rPr>
        <w:t xml:space="preserve"> hereto, which list of Pre-Clearance Persons may be updated at any time and from time to time by the Chief Executive Officer or the Chief Financial Officer, and such current list shall be maintained in the Company’s records. Pre-clearance does not relieve anyone of his or her responsibility under SEC rules. For the avoidance of doubt, any designation by the Board of Directors of the Company Personnel who are subject to pre-clearance may be updated from time to time by the Chief Executive Officer or the Chief Financial Officer.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Chief Financial Officer, the Pre-Clearance Person must execute a certification (in the form approved by the Chief Financial Officer) that he, she or it is not aware of material, non-public information about the Company. The Chief Financial Officer shall have sole discretion to decide whether to clear any contemplated transaction, provided that the Chief Executive Officer shall have sole discretion to decide whether to clear transactions by the Chief Financial Officer or persons or entities subject to this policy as a result of their relationship with the Chief Financial Officer. All trades that are pre-cleared must be effected within five business days of receipt of the pre-clearance unless a specific exception has been granted by the Chief Financial Officer (or the Chief Executive Officer, in the case of the Chief Financial Officer or persons or entities subject to this policy as a result of their relationship with the Chief Financial Officer). A pre- cleared trade (or any portion of a pre-cleared trade) that has not been effected during the five (5)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tbl>
      <w:tblPr>
        <w:tblW w:w="1683" w:type="dxa"/>
        <w:jc w:val="left"/>
        <w:tblInd w:w="0" w:type="dxa"/>
        <w:tblLayout w:type="fixed"/>
        <w:tblCellMar>
          <w:top w:w="0" w:type="dxa"/>
          <w:left w:w="0" w:type="dxa"/>
          <w:bottom w:w="0" w:type="dxa"/>
          <w:right w:w="0" w:type="dxa"/>
        </w:tblCellMar>
      </w:tblPr>
      <w:tblGrid>
        <w:gridCol w:w="23"/>
        <w:gridCol w:w="24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B. </w:t>
            </w:r>
          </w:p>
        </w:tc>
        <w:tc>
          <w:tcPr>
            <w:tcW w:w="141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Blackout Periods</w:t>
            </w:r>
          </w:p>
        </w:tc>
      </w:tr>
    </w:tbl>
    <w:p>
      <w:pPr>
        <w:pStyle w:val="TextBody"/>
        <w:bidi w:val="0"/>
        <w:spacing w:before="0" w:after="200"/>
        <w:ind w:left="0" w:right="0" w:firstLine="720"/>
        <w:jc w:val="both"/>
        <w:rPr>
          <w:rFonts w:ascii="Times New Roman;Times;serif" w:hAnsi="Times New Roman;Times;serif"/>
          <w:b/>
          <w:sz w:val="20"/>
        </w:rPr>
      </w:pPr>
      <w:r>
        <w:rPr>
          <w:rFonts w:ascii="Times New Roman;Times;serif" w:hAnsi="Times New Roman;Times;serif"/>
          <w:b/>
          <w:sz w:val="20"/>
        </w:rPr>
        <w:t>No officer, director or other Company Personnel designated from time to time by the Board of Directors, the Chief Executive Officer or the Chief Financial Officer as being subject to quarterly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blackout periods, as well as such officer’s, director’s and other Company Personnel’s Related Parties, shall purchase or sell any security of the Company during the period beginning at 11:59 p.m., Eastern time, on the seventh calendar day before the end of any fiscal quarter of the Company and ending upon the completion of the second full trading day after the public release of earnings data for such fiscal quarter or during any other trading suspension period declared by the Company,</w:t>
      </w:r>
      <w:r>
        <w:rPr>
          <w:rFonts w:ascii="Times New Roman;Times;serif" w:hAnsi="Times New Roman;Times;serif"/>
          <w:sz w:val="20"/>
        </w:rPr>
        <w:t xml:space="preserve"> except for purchases and sales made pursuant to the permitted transactions described in Section II. For example, if the Company’s fourth fiscal quarter ends at 11:59 p.m., Eastern time, on December 31, the corresponding blackout period would begin at 11:59 p.m., Eastern time, on December 24. Those subject to the quarterly blackout periods are listed on </w:t>
      </w:r>
      <w:r>
        <w:rPr>
          <w:rFonts w:ascii="Times New Roman;Times;serif" w:hAnsi="Times New Roman;Times;serif"/>
          <w:sz w:val="20"/>
          <w:u w:val="single"/>
        </w:rPr>
        <w:t>Schedule II</w:t>
      </w:r>
      <w:r>
        <w:rPr>
          <w:rFonts w:ascii="Times New Roman;Times;serif" w:hAnsi="Times New Roman;Times;serif"/>
          <w:sz w:val="20"/>
        </w:rPr>
        <w:t xml:space="preserve"> hereto, which list may be updated at any time and from time to time by the Chief Executive Officer or the Chief Financial Officer, and such current list shall be maintained in the Company’s records.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Exceptions to the blackout period policy may be approved only by the Company’s Chief Executive Officer (or, in the case of an exception for the Chief Executive Officer or persons or entities subject to this policy as a result of their relationship with the Chief Executive Officer, the Chief Financial Officer or, in the case of exceptions for directors or persons or entities subject to this policy as a result of their relationship with a director, the Board of Directors).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From time to time, the Company, through the Board of Directors, the Company’s disclosure committee, the Chief Executive Officer or the Chief Financial Officer, may recommend that some or all Company Personnel (including their Related Parties)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tbl>
      <w:tblPr>
        <w:tblW w:w="2778" w:type="dxa"/>
        <w:jc w:val="left"/>
        <w:tblInd w:w="0" w:type="dxa"/>
        <w:tblLayout w:type="fixed"/>
        <w:tblCellMar>
          <w:top w:w="0" w:type="dxa"/>
          <w:left w:w="0" w:type="dxa"/>
          <w:bottom w:w="0" w:type="dxa"/>
          <w:right w:w="0" w:type="dxa"/>
        </w:tblCellMar>
      </w:tblPr>
      <w:tblGrid>
        <w:gridCol w:w="23"/>
        <w:gridCol w:w="24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C. </w:t>
            </w:r>
          </w:p>
        </w:tc>
        <w:tc>
          <w:tcPr>
            <w:tcW w:w="251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Post-Termination Transactions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any Company Personnel is in possession of material, non-public information when his or her service with the Company terminates, that individual and their Related Parties may not trade in the Company’s securities until that information has become public or is no longer material.</w:t>
      </w:r>
    </w:p>
    <w:tbl>
      <w:tblPr>
        <w:tblW w:w="3348" w:type="dxa"/>
        <w:jc w:val="left"/>
        <w:tblInd w:w="0" w:type="dxa"/>
        <w:tblLayout w:type="fixed"/>
        <w:tblCellMar>
          <w:top w:w="0" w:type="dxa"/>
          <w:left w:w="0" w:type="dxa"/>
          <w:bottom w:w="0" w:type="dxa"/>
          <w:right w:w="0" w:type="dxa"/>
        </w:tblCellMar>
      </w:tblPr>
      <w:tblGrid>
        <w:gridCol w:w="23"/>
        <w:gridCol w:w="245"/>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D. </w:t>
            </w:r>
          </w:p>
        </w:tc>
        <w:tc>
          <w:tcPr>
            <w:tcW w:w="308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Information Relating to the Company</w:t>
            </w:r>
          </w:p>
        </w:tc>
      </w:tr>
    </w:tbl>
    <w:tbl>
      <w:tblPr>
        <w:tblW w:w="2028" w:type="dxa"/>
        <w:jc w:val="left"/>
        <w:tblInd w:w="0" w:type="dxa"/>
        <w:tblLayout w:type="fixed"/>
        <w:tblCellMar>
          <w:top w:w="0" w:type="dxa"/>
          <w:left w:w="0" w:type="dxa"/>
          <w:bottom w:w="0" w:type="dxa"/>
          <w:right w:w="0" w:type="dxa"/>
        </w:tblCellMar>
      </w:tblPr>
      <w:tblGrid>
        <w:gridCol w:w="23"/>
        <w:gridCol w:w="215"/>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1. </w:t>
            </w:r>
          </w:p>
        </w:tc>
        <w:tc>
          <w:tcPr>
            <w:tcW w:w="1790" w:type="dxa"/>
            <w:tcBorders/>
            <w:vAlign w:val="center"/>
          </w:tcPr>
          <w:p>
            <w:pPr>
              <w:pStyle w:val="TableContents"/>
              <w:bidi w:val="0"/>
              <w:spacing w:before="0" w:after="200"/>
              <w:jc w:val="both"/>
              <w:rPr>
                <w:rFonts w:ascii="Times New Roman;Times;serif" w:hAnsi="Times New Roman;Times;serif"/>
                <w:i/>
                <w:sz w:val="20"/>
              </w:rPr>
            </w:pPr>
            <w:r>
              <w:rPr>
                <w:rFonts w:ascii="Times New Roman;Times;serif" w:hAnsi="Times New Roman;Times;serif"/>
                <w:i/>
                <w:sz w:val="20"/>
              </w:rPr>
              <w:t>Access to Information</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Access to material, non-public information about the Company, including the Company’s business, earnings or prospects, should be limited to Company Personnel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 know basis.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communicating material, non-public information to Company Personnel of the Company, all Company Personnel must take care to emphasize the need for confidential treatment of such information and adherence to the Company’s policies with regard to confidential information.</w:t>
      </w:r>
    </w:p>
    <w:tbl>
      <w:tblPr>
        <w:tblW w:w="2598" w:type="dxa"/>
        <w:jc w:val="left"/>
        <w:tblInd w:w="0" w:type="dxa"/>
        <w:tblLayout w:type="fixed"/>
        <w:tblCellMar>
          <w:top w:w="0" w:type="dxa"/>
          <w:left w:w="0" w:type="dxa"/>
          <w:bottom w:w="0" w:type="dxa"/>
          <w:right w:w="0" w:type="dxa"/>
        </w:tblCellMar>
      </w:tblPr>
      <w:tblGrid>
        <w:gridCol w:w="23"/>
        <w:gridCol w:w="215"/>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2. </w:t>
            </w:r>
          </w:p>
        </w:tc>
        <w:tc>
          <w:tcPr>
            <w:tcW w:w="2360" w:type="dxa"/>
            <w:tcBorders/>
            <w:vAlign w:val="center"/>
          </w:tcPr>
          <w:p>
            <w:pPr>
              <w:pStyle w:val="TableContents"/>
              <w:bidi w:val="0"/>
              <w:spacing w:before="0" w:after="200"/>
              <w:jc w:val="both"/>
              <w:rPr>
                <w:rFonts w:ascii="Times New Roman;Times;serif" w:hAnsi="Times New Roman;Times;serif"/>
                <w:i/>
                <w:sz w:val="20"/>
              </w:rPr>
            </w:pPr>
            <w:r>
              <w:rPr>
                <w:rFonts w:ascii="Times New Roman;Times;serif" w:hAnsi="Times New Roman;Times;serif"/>
                <w:i/>
                <w:sz w:val="20"/>
              </w:rPr>
              <w:t>Inquiries From Third Parties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Inquiries from third parties, such as industry analysts or members of the media, about the Company should be directed to the Chief Financial Officer.</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128" w:type="dxa"/>
        <w:jc w:val="left"/>
        <w:tblInd w:w="0" w:type="dxa"/>
        <w:tblLayout w:type="fixed"/>
        <w:tblCellMar>
          <w:top w:w="0" w:type="dxa"/>
          <w:left w:w="0" w:type="dxa"/>
          <w:bottom w:w="0" w:type="dxa"/>
          <w:right w:w="0" w:type="dxa"/>
        </w:tblCellMar>
      </w:tblPr>
      <w:tblGrid>
        <w:gridCol w:w="23"/>
        <w:gridCol w:w="230"/>
        <w:gridCol w:w="38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E. </w:t>
            </w:r>
          </w:p>
        </w:tc>
        <w:tc>
          <w:tcPr>
            <w:tcW w:w="387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Limitations on Access to Company Information</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procedures are designed to maintain confidentiality with respect to the Company’s business operations and activities.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All Company Personnel should take all steps and precautions necessary to restrict access to, and secure, material, non-public information by, among other things:</w:t>
      </w:r>
    </w:p>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the confidentiality of Company-related transactions;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their business and social activities so as not to risk inadvertent disclosure of confidential information. Review of confidential documents in public places should be conducted so as to prevent access by unauthorized persons;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access to documents and files (including computer files) containing material, non-public information to individuals on a need-to-know basis (including maintaining control over the distribution of documents and drafts of documents);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removing and cleaning up all confidential documents and other materials from conference rooms following the conclusion of any meetings;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disposing of all confidential documents and other papers, after there is no longer any business or other legally required need, through shredders when appropriate;</w:t>
            </w:r>
          </w:p>
        </w:tc>
      </w:tr>
    </w:tbl>
    <w:tbl>
      <w:tblPr>
        <w:tblW w:w="8583" w:type="dxa"/>
        <w:jc w:val="left"/>
        <w:tblInd w:w="0" w:type="dxa"/>
        <w:tblLayout w:type="fixed"/>
        <w:tblCellMar>
          <w:top w:w="0" w:type="dxa"/>
          <w:left w:w="0" w:type="dxa"/>
          <w:bottom w:w="0" w:type="dxa"/>
          <w:right w:w="0" w:type="dxa"/>
        </w:tblCellMar>
      </w:tblPr>
      <w:tblGrid>
        <w:gridCol w:w="23"/>
        <w:gridCol w:w="170"/>
        <w:gridCol w:w="8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access to areas likely to contain confidential documents or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safeguarding laptop computers, mobile devices, tablets, memory sticks, CDs and other items that contain confidential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avoiding the discussion of material, non-public information in places where the information could be overheard by others such as in elevators, restrooms, hallways, restaurants, airplanes or taxicabs.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Personnel involved with material, non-public information, to the extent feasible, should conduct their business and activities in areas separate from other Company activities.</w:t>
      </w:r>
    </w:p>
    <w:tbl>
      <w:tblPr>
        <w:tblW w:w="4360" w:type="dxa"/>
        <w:jc w:val="left"/>
        <w:tblInd w:w="0" w:type="dxa"/>
        <w:tblLayout w:type="fixed"/>
        <w:tblCellMar>
          <w:top w:w="0" w:type="dxa"/>
          <w:left w:w="0" w:type="dxa"/>
          <w:bottom w:w="0" w:type="dxa"/>
          <w:right w:w="0" w:type="dxa"/>
        </w:tblCellMar>
      </w:tblPr>
      <w:tblGrid>
        <w:gridCol w:w="245"/>
        <w:gridCol w:w="4115"/>
      </w:tblGrid>
      <w:tr>
        <w:trPr/>
        <w:tc>
          <w:tcPr>
            <w:tcW w:w="24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 xml:space="preserve">V. </w:t>
            </w:r>
          </w:p>
        </w:tc>
        <w:tc>
          <w:tcPr>
            <w:tcW w:w="411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ADDITIONAL PROHIBITED TRANSACTIONS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has determined that there is a heightened legal risk and/or the appearance of improper or inappropriate conduct if the persons subject to this Policy engage in certain types of transactions, whether or not unlawful, are not consistent with a long-term investment in the Company or are designed to profit from fluctuations in the price of the Company’s securities. Therefore, Covered Persons shall comply with the following policies with respect to certain transactions in the Company securities:</w:t>
      </w:r>
    </w:p>
    <w:tbl>
      <w:tblPr>
        <w:tblW w:w="1188" w:type="dxa"/>
        <w:jc w:val="left"/>
        <w:tblInd w:w="0" w:type="dxa"/>
        <w:tblLayout w:type="fixed"/>
        <w:tblCellMar>
          <w:top w:w="0" w:type="dxa"/>
          <w:left w:w="0" w:type="dxa"/>
          <w:bottom w:w="0" w:type="dxa"/>
          <w:right w:w="0" w:type="dxa"/>
        </w:tblCellMar>
      </w:tblPr>
      <w:tblGrid>
        <w:gridCol w:w="23"/>
        <w:gridCol w:w="245"/>
        <w:gridCol w:w="9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A. </w:t>
            </w:r>
          </w:p>
        </w:tc>
        <w:tc>
          <w:tcPr>
            <w:tcW w:w="92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Short Sales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Times;serif" w:hAnsi="Times New Roman;Times;serif"/>
          <w:i/>
          <w:sz w:val="20"/>
        </w:rPr>
        <w:t>i.e.</w:t>
      </w:r>
      <w:r>
        <w:rPr>
          <w:rFonts w:ascii="Times New Roman;Times;serif" w:hAnsi="Times New Roman;Times;serif"/>
          <w:sz w:val="20"/>
        </w:rPr>
        <w:t>, sales of shares that the insider does not own at the time of sale, or sales of shares against which the insider does not deliver the shares within 20 days after the sale.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33" w:type="dxa"/>
        <w:jc w:val="left"/>
        <w:tblInd w:w="0" w:type="dxa"/>
        <w:tblLayout w:type="fixed"/>
        <w:tblCellMar>
          <w:top w:w="0" w:type="dxa"/>
          <w:left w:w="0" w:type="dxa"/>
          <w:bottom w:w="0" w:type="dxa"/>
          <w:right w:w="0" w:type="dxa"/>
        </w:tblCellMar>
      </w:tblPr>
      <w:tblGrid>
        <w:gridCol w:w="23"/>
        <w:gridCol w:w="245"/>
        <w:gridCol w:w="6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B. </w:t>
            </w:r>
          </w:p>
        </w:tc>
        <w:tc>
          <w:tcPr>
            <w:tcW w:w="66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Options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transaction in options is, in effect, a bet on the short-term movement of the Company’s stock and therefore creates the appearance that Covered Persons are trading based on inside information. Transactions in options, whether traded on an exchange, on any other organized market or on an over-the-counter market, also may focus the Covered Person’s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w:t>
      </w:r>
    </w:p>
    <w:tbl>
      <w:tblPr>
        <w:tblW w:w="2073" w:type="dxa"/>
        <w:jc w:val="left"/>
        <w:tblInd w:w="0" w:type="dxa"/>
        <w:tblLayout w:type="fixed"/>
        <w:tblCellMar>
          <w:top w:w="0" w:type="dxa"/>
          <w:left w:w="0" w:type="dxa"/>
          <w:bottom w:w="0" w:type="dxa"/>
          <w:right w:w="0" w:type="dxa"/>
        </w:tblCellMar>
      </w:tblPr>
      <w:tblGrid>
        <w:gridCol w:w="23"/>
        <w:gridCol w:w="245"/>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C. </w:t>
            </w:r>
          </w:p>
        </w:tc>
        <w:tc>
          <w:tcPr>
            <w:tcW w:w="180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Hedging Transactions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Covered Persons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tbl>
      <w:tblPr>
        <w:tblW w:w="9948" w:type="dxa"/>
        <w:jc w:val="left"/>
        <w:tblInd w:w="0" w:type="dxa"/>
        <w:tblLayout w:type="fixed"/>
        <w:tblCellMar>
          <w:top w:w="0" w:type="dxa"/>
          <w:left w:w="0" w:type="dxa"/>
          <w:bottom w:w="0" w:type="dxa"/>
          <w:right w:w="0" w:type="dxa"/>
        </w:tblCellMar>
      </w:tblPr>
      <w:tblGrid>
        <w:gridCol w:w="23"/>
        <w:gridCol w:w="245"/>
        <w:gridCol w:w="96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D. </w:t>
            </w:r>
          </w:p>
        </w:tc>
        <w:tc>
          <w:tcPr>
            <w:tcW w:w="968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Purchases of the Company’s Securities on Margin; Pledging the Company’s Securities to Secure Margin or Other Loans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tbl>
      <w:tblPr>
        <w:tblW w:w="4308" w:type="dxa"/>
        <w:jc w:val="left"/>
        <w:tblInd w:w="0" w:type="dxa"/>
        <w:tblLayout w:type="fixed"/>
        <w:tblCellMar>
          <w:top w:w="0" w:type="dxa"/>
          <w:left w:w="0" w:type="dxa"/>
          <w:bottom w:w="0" w:type="dxa"/>
          <w:right w:w="0" w:type="dxa"/>
        </w:tblCellMar>
      </w:tblPr>
      <w:tblGrid>
        <w:gridCol w:w="23"/>
        <w:gridCol w:w="230"/>
        <w:gridCol w:w="40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E. </w:t>
            </w:r>
          </w:p>
        </w:tc>
        <w:tc>
          <w:tcPr>
            <w:tcW w:w="405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Director and Executive Officer Cashless Exercises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 uses a “T+2” cashless exercise arrangement, in which the Company agrees to deliver stock against the payment of the purchase price on the same day the sale of the stock underlying the equity award settles and (iv) the director or officer otherwise complies with this Policy.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Financial Officer.</w:t>
      </w:r>
    </w:p>
    <w:tbl>
      <w:tblPr>
        <w:tblW w:w="2283" w:type="dxa"/>
        <w:jc w:val="left"/>
        <w:tblInd w:w="0" w:type="dxa"/>
        <w:tblLayout w:type="fixed"/>
        <w:tblCellMar>
          <w:top w:w="0" w:type="dxa"/>
          <w:left w:w="0" w:type="dxa"/>
          <w:bottom w:w="0" w:type="dxa"/>
          <w:right w:w="0" w:type="dxa"/>
        </w:tblCellMar>
      </w:tblPr>
      <w:tblGrid>
        <w:gridCol w:w="23"/>
        <w:gridCol w:w="215"/>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F. </w:t>
            </w:r>
          </w:p>
        </w:tc>
        <w:tc>
          <w:tcPr>
            <w:tcW w:w="204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Partnership Distributions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60" w:type="dxa"/>
        <w:jc w:val="left"/>
        <w:tblInd w:w="0" w:type="dxa"/>
        <w:tblLayout w:type="fixed"/>
        <w:tblCellMar>
          <w:top w:w="0" w:type="dxa"/>
          <w:left w:w="0" w:type="dxa"/>
          <w:bottom w:w="0" w:type="dxa"/>
          <w:right w:w="0" w:type="dxa"/>
        </w:tblCellMar>
      </w:tblPr>
      <w:tblGrid>
        <w:gridCol w:w="320"/>
        <w:gridCol w:w="2840"/>
      </w:tblGrid>
      <w:tr>
        <w:trPr/>
        <w:tc>
          <w:tcPr>
            <w:tcW w:w="32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 xml:space="preserve">VI. </w:t>
            </w:r>
          </w:p>
        </w:tc>
        <w:tc>
          <w:tcPr>
            <w:tcW w:w="2840"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RULE 10B5-1 TRADING PLANS</w:t>
            </w:r>
          </w:p>
        </w:tc>
      </w:tr>
    </w:tbl>
    <w:tbl>
      <w:tblPr>
        <w:tblW w:w="1068" w:type="dxa"/>
        <w:jc w:val="left"/>
        <w:tblInd w:w="0" w:type="dxa"/>
        <w:tblLayout w:type="fixed"/>
        <w:tblCellMar>
          <w:top w:w="0" w:type="dxa"/>
          <w:left w:w="0" w:type="dxa"/>
          <w:bottom w:w="0" w:type="dxa"/>
          <w:right w:w="0" w:type="dxa"/>
        </w:tblCellMar>
      </w:tblPr>
      <w:tblGrid>
        <w:gridCol w:w="23"/>
        <w:gridCol w:w="245"/>
        <w:gridCol w:w="8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A. </w:t>
            </w:r>
          </w:p>
        </w:tc>
        <w:tc>
          <w:tcPr>
            <w:tcW w:w="80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Overview</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Rule 10b5-1 presents an opportunity for insiders to establish arrangements to sell (or purchase) Company stock without the restrictions of trading windows and blackout periods, even when there is undisclosed material information. Rule 10b5-1 will protect Covered Persons from insider trading liability under Rule 10b5-1 for transactions under a previously established contract, plan or instruction to trade in the Company’s stock (a “</w:t>
      </w:r>
      <w:r>
        <w:rPr>
          <w:rFonts w:ascii="Times New Roman;Times;serif" w:hAnsi="Times New Roman;Times;serif"/>
          <w:b/>
          <w:i/>
          <w:sz w:val="20"/>
        </w:rPr>
        <w:t>Trading Plan</w:t>
      </w:r>
      <w:r>
        <w:rPr>
          <w:rFonts w:ascii="Times New Roman;Times;serif" w:hAnsi="Times New Roman;Times;serif"/>
          <w:sz w:val="20"/>
        </w:rPr>
        <w:t>”) entered into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Chief Financial Officer, or such other person as the Board of Directors may designate from time to time (the “</w:t>
      </w:r>
      <w:r>
        <w:rPr>
          <w:rFonts w:ascii="Times New Roman;Times;serif" w:hAnsi="Times New Roman;Times;serif"/>
          <w:b/>
          <w:i/>
          <w:sz w:val="20"/>
        </w:rPr>
        <w:t>Authorizing Officer</w:t>
      </w:r>
      <w:r>
        <w:rPr>
          <w:rFonts w:ascii="Times New Roman;Times;serif" w:hAnsi="Times New Roman;Times;serif"/>
          <w:sz w:val="20"/>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pStyle w:val="TextBody"/>
        <w:bidi w:val="0"/>
        <w:spacing w:before="0" w:after="200"/>
        <w:ind w:left="0" w:right="0" w:firstLine="720"/>
        <w:jc w:val="both"/>
        <w:rPr>
          <w:rFonts w:ascii="Times New Roman;Times;serif" w:hAnsi="Times New Roman;Times;serif"/>
          <w:b/>
          <w:sz w:val="20"/>
        </w:rPr>
      </w:pPr>
      <w:r>
        <w:rPr>
          <w:rFonts w:ascii="Times New Roman;Times;serif" w:hAnsi="Times New Roman;Times;serif"/>
          <w:b/>
          <w:sz w:val="20"/>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Covered Persons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Covered Persons may adopt Trading Plans with brokers that outline a pre-set plan for trading of the Company’s stock, including the exercise of options. Trades pursuant to a Trading Plan generally may occur at any time. However, the Company requires a cooling-off period of 30 calendar days between the establishment of a Trading Plan and commencement of any transactions under such plan. An individual may adopt more than one Trading Plan. Please review the following description of how a Trading Plan works.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Pursuant to Rule 10b5-1, an individual’s purchase or sale of securities will not be “on the basis of” material, non-public information if:</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Trading Plan must either:</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amount of securities to be purchased or sold, the price at which the securities are to be purchased or sold and the date on which the securities are to be purchased or sold;</w:t>
            </w:r>
          </w:p>
        </w:tc>
      </w:tr>
    </w:tbl>
    <w:tbl>
      <w:tblPr>
        <w:tblW w:w="9288" w:type="dxa"/>
        <w:jc w:val="left"/>
        <w:tblInd w:w="0" w:type="dxa"/>
        <w:tblLayout w:type="fixed"/>
        <w:tblCellMar>
          <w:top w:w="0" w:type="dxa"/>
          <w:left w:w="0" w:type="dxa"/>
          <w:bottom w:w="0" w:type="dxa"/>
          <w:right w:w="0" w:type="dxa"/>
        </w:tblCellMar>
      </w:tblPr>
      <w:tblGrid>
        <w:gridCol w:w="23"/>
        <w:gridCol w:w="170"/>
        <w:gridCol w:w="9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a written formula or computer program for determining the amount, price and date of the transactions;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the individual from exercising any subsequent influence over the purchase or sale of the Company’s stock under the Trading Plan in question.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purchase or sale must occur pursuant to the Trading Plan and the individual must not enter into a corresponding hedging transaction or alter or deviate from the Trading Plan. 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tc>
      </w:tr>
    </w:tbl>
    <w:tbl>
      <w:tblPr>
        <w:tblW w:w="4278" w:type="dxa"/>
        <w:jc w:val="left"/>
        <w:tblInd w:w="0" w:type="dxa"/>
        <w:tblLayout w:type="fixed"/>
        <w:tblCellMar>
          <w:top w:w="0" w:type="dxa"/>
          <w:left w:w="0" w:type="dxa"/>
          <w:bottom w:w="0" w:type="dxa"/>
          <w:right w:w="0" w:type="dxa"/>
        </w:tblCellMar>
      </w:tblPr>
      <w:tblGrid>
        <w:gridCol w:w="23"/>
        <w:gridCol w:w="245"/>
        <w:gridCol w:w="40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B. </w:t>
            </w:r>
          </w:p>
        </w:tc>
        <w:tc>
          <w:tcPr>
            <w:tcW w:w="401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Revocation of and Amendments to Trading Plans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calendar days before trading outside of a Trading Plan and 180 calendar days before establishing a new Trading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person acting in good faith may amend a prior Trading Plan so long as such amendments are made outside of a quarterly trading blackout period and at a time when the Trading Plan participant does not possess material, non-public information. Plan amendments must not take effect for at least 30 calendar days after the plan amendments are made.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Under certain circumstances, a Trading Plan </w:t>
      </w:r>
      <w:r>
        <w:rPr>
          <w:rFonts w:ascii="Times New Roman;Times;serif" w:hAnsi="Times New Roman;Times;serif"/>
          <w:i/>
          <w:sz w:val="20"/>
        </w:rPr>
        <w:t>must</w:t>
      </w:r>
      <w:r>
        <w:rPr>
          <w:rFonts w:ascii="Times New Roman;Times;serif" w:hAnsi="Times New Roman;Times;serif"/>
          <w:sz w:val="20"/>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tbl>
      <w:tblPr>
        <w:tblW w:w="1863" w:type="dxa"/>
        <w:jc w:val="left"/>
        <w:tblInd w:w="0" w:type="dxa"/>
        <w:tblLayout w:type="fixed"/>
        <w:tblCellMar>
          <w:top w:w="0" w:type="dxa"/>
          <w:left w:w="0" w:type="dxa"/>
          <w:bottom w:w="0" w:type="dxa"/>
          <w:right w:w="0" w:type="dxa"/>
        </w:tblCellMar>
      </w:tblPr>
      <w:tblGrid>
        <w:gridCol w:w="23"/>
        <w:gridCol w:w="245"/>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C. </w:t>
            </w:r>
          </w:p>
        </w:tc>
        <w:tc>
          <w:tcPr>
            <w:tcW w:w="159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Discretionary Plans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Although non-discretionary Trading Plans are preferred, discretionary Trading Plans, where the discretion or control over trading is transferred to a broker, are permitted if pre-approved by the Authorizing Officer.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 clearance for transactions in the Company’s stock once the Trading Plan or other arrangement has been pre-approved.</w:t>
      </w:r>
    </w:p>
    <w:tbl>
      <w:tblPr>
        <w:tblW w:w="2193" w:type="dxa"/>
        <w:jc w:val="left"/>
        <w:tblInd w:w="0" w:type="dxa"/>
        <w:tblLayout w:type="fixed"/>
        <w:tblCellMar>
          <w:top w:w="0" w:type="dxa"/>
          <w:left w:w="0" w:type="dxa"/>
          <w:bottom w:w="0" w:type="dxa"/>
          <w:right w:w="0" w:type="dxa"/>
        </w:tblCellMar>
      </w:tblPr>
      <w:tblGrid>
        <w:gridCol w:w="23"/>
        <w:gridCol w:w="245"/>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D. </w:t>
            </w:r>
          </w:p>
        </w:tc>
        <w:tc>
          <w:tcPr>
            <w:tcW w:w="192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Reporting (if Required)</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required, an SEC Form 144 will be filled out and filed by the individual/brokerage firm in accordance with the existing rules regarding Form 144 filings. A footnote at the bottom of the Form 144</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should indicate that the trades “are in accordance with a Trading Plan that complies with Rule 10b5-1 and expires </w:t>
      </w:r>
      <w:r>
        <w:rPr>
          <w:rFonts w:ascii="Times New Roman;Times;serif" w:hAnsi="Times New Roman;Times;serif"/>
          <w:sz w:val="20"/>
          <w:u w:val="single"/>
        </w:rPr>
        <w:t>       </w:t>
      </w:r>
      <w:r>
        <w:rPr>
          <w:rFonts w:ascii="Times New Roman;Times;serif" w:hAnsi="Times New Roman;Times;serif"/>
          <w:sz w:val="20"/>
        </w:rPr>
        <w:t>.”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tbl>
      <w:tblPr>
        <w:tblW w:w="918" w:type="dxa"/>
        <w:jc w:val="left"/>
        <w:tblInd w:w="0" w:type="dxa"/>
        <w:tblLayout w:type="fixed"/>
        <w:tblCellMar>
          <w:top w:w="0" w:type="dxa"/>
          <w:left w:w="0" w:type="dxa"/>
          <w:bottom w:w="0" w:type="dxa"/>
          <w:right w:w="0" w:type="dxa"/>
        </w:tblCellMar>
      </w:tblPr>
      <w:tblGrid>
        <w:gridCol w:w="23"/>
        <w:gridCol w:w="230"/>
        <w:gridCol w:w="66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E. </w:t>
            </w:r>
          </w:p>
        </w:tc>
        <w:tc>
          <w:tcPr>
            <w:tcW w:w="66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Options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tbl>
      <w:tblPr>
        <w:tblW w:w="2913" w:type="dxa"/>
        <w:jc w:val="left"/>
        <w:tblInd w:w="0" w:type="dxa"/>
        <w:tblLayout w:type="fixed"/>
        <w:tblCellMar>
          <w:top w:w="0" w:type="dxa"/>
          <w:left w:w="0" w:type="dxa"/>
          <w:bottom w:w="0" w:type="dxa"/>
          <w:right w:w="0" w:type="dxa"/>
        </w:tblCellMar>
      </w:tblPr>
      <w:tblGrid>
        <w:gridCol w:w="23"/>
        <w:gridCol w:w="215"/>
        <w:gridCol w:w="267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F. </w:t>
            </w:r>
          </w:p>
        </w:tc>
        <w:tc>
          <w:tcPr>
            <w:tcW w:w="267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Trades Outside of a Trading Plan</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During an open trading window, trades differing from Trading Plan instructions that are already in place are allowed as long as the Trading Plan continues to be followed.</w:t>
      </w:r>
    </w:p>
    <w:tbl>
      <w:tblPr>
        <w:tblW w:w="2178" w:type="dxa"/>
        <w:jc w:val="left"/>
        <w:tblInd w:w="0" w:type="dxa"/>
        <w:tblLayout w:type="fixed"/>
        <w:tblCellMar>
          <w:top w:w="0" w:type="dxa"/>
          <w:left w:w="0" w:type="dxa"/>
          <w:bottom w:w="0" w:type="dxa"/>
          <w:right w:w="0" w:type="dxa"/>
        </w:tblCellMar>
      </w:tblPr>
      <w:tblGrid>
        <w:gridCol w:w="23"/>
        <w:gridCol w:w="245"/>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G. </w:t>
            </w:r>
          </w:p>
        </w:tc>
        <w:tc>
          <w:tcPr>
            <w:tcW w:w="191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Public Announcements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tbl>
      <w:tblPr>
        <w:tblW w:w="2223" w:type="dxa"/>
        <w:jc w:val="left"/>
        <w:tblInd w:w="0" w:type="dxa"/>
        <w:tblLayout w:type="fixed"/>
        <w:tblCellMar>
          <w:top w:w="0" w:type="dxa"/>
          <w:left w:w="0" w:type="dxa"/>
          <w:bottom w:w="0" w:type="dxa"/>
          <w:right w:w="0" w:type="dxa"/>
        </w:tblCellMar>
      </w:tblPr>
      <w:tblGrid>
        <w:gridCol w:w="23"/>
        <w:gridCol w:w="245"/>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H. </w:t>
            </w:r>
          </w:p>
        </w:tc>
        <w:tc>
          <w:tcPr>
            <w:tcW w:w="1955"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Prohibited Transactions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tbl>
      <w:tblPr>
        <w:tblW w:w="2103" w:type="dxa"/>
        <w:jc w:val="left"/>
        <w:tblInd w:w="0" w:type="dxa"/>
        <w:tblLayout w:type="fixed"/>
        <w:tblCellMar>
          <w:top w:w="0" w:type="dxa"/>
          <w:left w:w="0" w:type="dxa"/>
          <w:bottom w:w="0" w:type="dxa"/>
          <w:right w:w="0" w:type="dxa"/>
        </w:tblCellMar>
      </w:tblPr>
      <w:tblGrid>
        <w:gridCol w:w="23"/>
        <w:gridCol w:w="17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 xml:space="preserve">I. </w:t>
            </w:r>
          </w:p>
        </w:tc>
        <w:tc>
          <w:tcPr>
            <w:tcW w:w="1910" w:type="dxa"/>
            <w:tcBorders/>
            <w:vAlign w:val="center"/>
          </w:tcPr>
          <w:p>
            <w:pPr>
              <w:pStyle w:val="TableContents"/>
              <w:bidi w:val="0"/>
              <w:spacing w:before="0" w:after="200"/>
              <w:jc w:val="both"/>
              <w:rPr>
                <w:rFonts w:ascii="Times New Roman;Times;serif" w:hAnsi="Times New Roman;Times;serif"/>
                <w:sz w:val="20"/>
                <w:u w:val="single"/>
              </w:rPr>
            </w:pPr>
            <w:r>
              <w:rPr>
                <w:rFonts w:ascii="Times New Roman;Times;serif" w:hAnsi="Times New Roman;Times;serif"/>
                <w:sz w:val="20"/>
                <w:u w:val="single"/>
              </w:rPr>
              <w:t>Limitation on Liability</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None of the Company, the Chief Executive Officer, the Chief Financial Officer, the Authorizing Officer, the other Company Personnel or any other person will have any liability for any delay in reviewing, or refusal of, a Trading Plan submitted pursuant to this Section VI or a request for pre- clearance submitted pursuant to Section IV of this Policy. Notwithstanding any review of a Trading Plan pursuant to this Section VI or pre-clearance of a transaction pursuant to Section IV of this Policy, none of the Company, the Chief Financial Officer, the Authorizing Officer, the other Company Personnel or any other person assumes any liability for the legality or consequences of such Trading Plan or transaction to the person engaging in or adopting such Trading Plan or transaction.</w:t>
      </w:r>
    </w:p>
    <w:tbl>
      <w:tblPr>
        <w:tblW w:w="6520" w:type="dxa"/>
        <w:jc w:val="left"/>
        <w:tblInd w:w="0" w:type="dxa"/>
        <w:tblLayout w:type="fixed"/>
        <w:tblCellMar>
          <w:top w:w="0" w:type="dxa"/>
          <w:left w:w="0" w:type="dxa"/>
          <w:bottom w:w="0" w:type="dxa"/>
          <w:right w:w="0" w:type="dxa"/>
        </w:tblCellMar>
      </w:tblPr>
      <w:tblGrid>
        <w:gridCol w:w="395"/>
        <w:gridCol w:w="6125"/>
      </w:tblGrid>
      <w:tr>
        <w:trPr/>
        <w:tc>
          <w:tcPr>
            <w:tcW w:w="39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 xml:space="preserve">VII. </w:t>
            </w:r>
          </w:p>
        </w:tc>
        <w:tc>
          <w:tcPr>
            <w:tcW w:w="6125"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EXECUTION AND RETURN OF CERTIFICATION OF COMPLIANCE</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After reading this Policy and on an annual basis, all Company Personnel should execute and return to the Company’s Chief Financial Officer the Certification of Compliance form attached hereto as “</w:t>
      </w:r>
      <w:r>
        <w:rPr>
          <w:rFonts w:ascii="Times New Roman;Times;serif" w:hAnsi="Times New Roman;Times;serif"/>
          <w:sz w:val="20"/>
          <w:u w:val="single"/>
        </w:rPr>
        <w:t>Attachment A</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 * * * *</w:t>
      </w:r>
    </w:p>
    <w:p>
      <w:pPr>
        <w:pStyle w:val="TextBody"/>
        <w:bidi w:val="0"/>
        <w:spacing w:before="0" w:after="140"/>
        <w:ind w:left="0" w:right="0" w:hanging="0"/>
        <w:jc w:val="center"/>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Effective Date: August 12, 2020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ATTACHMENT A</w:t>
      </w:r>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 OF COMPLIANCE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INSIDER TRADING COMPLIANCE POLICY OF BIOXCEL THERAPEUTICS, INC.</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I have received, reviewed and understand the above-referenced Insider Trading Compliance Policy and undertake, as a condition to my present and continued employment with (or, if I am not an employee, affiliation with) BioXcel Therapeutics, Inc., to comply fully with the policies and procedures contained therein.</w:t>
      </w:r>
    </w:p>
    <w:tbl>
      <w:tblPr>
        <w:tblW w:w="2208" w:type="dxa"/>
        <w:jc w:val="left"/>
        <w:tblInd w:w="0" w:type="dxa"/>
        <w:tblLayout w:type="fixed"/>
        <w:tblCellMar>
          <w:top w:w="0" w:type="dxa"/>
          <w:left w:w="0" w:type="dxa"/>
          <w:bottom w:w="28" w:type="dxa"/>
          <w:right w:w="0" w:type="dxa"/>
        </w:tblCellMar>
      </w:tblPr>
      <w:tblGrid>
        <w:gridCol w:w="1201"/>
        <w:gridCol w:w="346"/>
        <w:gridCol w:w="661"/>
      </w:tblGrid>
      <w:tr>
        <w:trPr/>
        <w:tc>
          <w:tcPr>
            <w:tcW w:w="1201" w:type="dxa"/>
            <w:tcBorders>
              <w:bottom w:val="single" w:sz="2" w:space="0" w:color="000000"/>
            </w:tcBorders>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661" w:type="dxa"/>
            <w:tcBorders/>
            <w:tcMar>
              <w:bottom w:w="0" w:type="dxa"/>
            </w:tcMar>
            <w:vAlign w:val="center"/>
          </w:tcPr>
          <w:p>
            <w:pPr>
              <w:pStyle w:val="TableContents"/>
              <w:bidi w:val="0"/>
              <w:spacing w:before="0" w:after="0"/>
              <w:ind w:left="0" w:right="0" w:hanging="0"/>
              <w:jc w:val="left"/>
              <w:rPr/>
            </w:pPr>
            <w:r>
              <w:rPr/>
              <w:t>​</w:t>
            </w:r>
          </w:p>
        </w:tc>
      </w:tr>
      <w:tr>
        <w:trPr/>
        <w:tc>
          <w:tcPr>
            <w:tcW w:w="12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r>
      <w:tr>
        <w:trPr/>
        <w:tc>
          <w:tcPr>
            <w:tcW w:w="1201" w:type="dxa"/>
            <w:tcBorders>
              <w:bottom w:val="single" w:sz="2" w:space="0" w:color="000000"/>
            </w:tcBorders>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2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46" w:type="dxa"/>
            <w:tcBorders/>
            <w:tcMar>
              <w:bottom w:w="0" w:type="dxa"/>
            </w:tcMar>
            <w:vAlign w:val="center"/>
          </w:tcPr>
          <w:p>
            <w:pPr>
              <w:pStyle w:val="TableContents"/>
              <w:bidi w:val="0"/>
              <w:spacing w:before="0" w:after="0"/>
              <w:ind w:left="0" w:right="0" w:hanging="0"/>
              <w:jc w:val="both"/>
              <w:rPr/>
            </w:pPr>
            <w:r>
              <w:rPr/>
              <w:t>​</w:t>
            </w:r>
          </w:p>
        </w:tc>
        <w:tc>
          <w:tcPr>
            <w:tcW w:w="661" w:type="dxa"/>
            <w:tcBorders>
              <w:top w:val="single" w:sz="2" w:space="0" w:color="000000"/>
            </w:tcBorders>
            <w:tcMar>
              <w:top w:w="28" w:type="dxa"/>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r>
      <w:tr>
        <w:trPr/>
        <w:tc>
          <w:tcPr>
            <w:tcW w:w="1201" w:type="dxa"/>
            <w:tcBorders>
              <w:bottom w:val="single" w:sz="2" w:space="0" w:color="000000"/>
            </w:tcBorders>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r>
      <w:tr>
        <w:trPr/>
        <w:tc>
          <w:tcPr>
            <w:tcW w:w="12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Pre-Clearance Persons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Executive officers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other employees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Schedule II</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Persons Subject to Quarterly Blackout Periods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Executive officers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other employees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72" w:name="btai-20251231xex21d1.htm"/>
      <w:bookmarkStart w:id="1073" w:name="ksbtai20251231xex21d1"/>
      <w:bookmarkEnd w:id="1072"/>
      <w:bookmarkEnd w:id="1073"/>
      <w:r>
        <w:rPr>
          <w:rFonts w:ascii="Times New Roman;Times;serif" w:hAnsi="Times New Roman;Times;serif"/>
          <w:b/>
          <w:sz w:val="20"/>
        </w:rPr>
        <w:t>Exhibit 21.1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OnkosXcel Therapeutics, LLC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OnkosXcel Employee Holdings, LLC (Delaware)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74" w:name="btai-20251231xex23d1.htm"/>
      <w:bookmarkStart w:id="1075" w:name="ksbtai20251231xex23d1"/>
      <w:bookmarkEnd w:id="1074"/>
      <w:bookmarkEnd w:id="1075"/>
      <w:r>
        <w:rPr>
          <w:rFonts w:ascii="Times New Roman;Times;serif" w:hAnsi="Times New Roman;Times;serif"/>
          <w:b/>
          <w:sz w:val="20"/>
        </w:rPr>
        <w:t>Exhibit 23.1</w:t>
      </w:r>
      <w:r>
        <w:br w:type="page"/>
      </w:r>
    </w:p>
    <w:p>
      <w:pPr>
        <w:pStyle w:val="TextBody"/>
        <w:bidi w:val="0"/>
        <w:spacing w:before="0" w:after="0"/>
        <w:ind w:left="0" w:right="0" w:hanging="0"/>
        <w:jc w:val="center"/>
        <w:rPr>
          <w:color w:val="333333"/>
        </w:rPr>
      </w:pPr>
      <w:r>
        <w:rPr>
          <w:color w:val="333333"/>
        </w:rPr>
        <w:t>​</w:t>
      </w:r>
    </w:p>
    <w:p>
      <w:pPr>
        <w:pStyle w:val="TextBody"/>
        <w:bidi w:val="0"/>
        <w:spacing w:before="0" w:after="0"/>
        <w:ind w:left="0" w:right="0" w:hanging="0"/>
        <w:jc w:val="center"/>
        <w:rPr>
          <w:rFonts w:ascii="Times New Roman;Times;serif" w:hAnsi="Times New Roman;Times;serif"/>
          <w:b/>
          <w:color w:val="333333"/>
          <w:sz w:val="24"/>
        </w:rPr>
      </w:pPr>
      <w:r>
        <w:rPr>
          <w:rFonts w:ascii="Times New Roman;Times;serif" w:hAnsi="Times New Roman;Times;serif"/>
          <w:b/>
          <w:color w:val="333333"/>
          <w:sz w:val="24"/>
        </w:rPr>
        <w:t>Consent of Independent Registered Public Accounting Firm</w:t>
      </w:r>
    </w:p>
    <w:p>
      <w:pPr>
        <w:pStyle w:val="TextBody"/>
        <w:bidi w:val="0"/>
        <w:spacing w:before="0" w:after="16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Statements (Form S-3 Nos. 333-240118, 333-265277, 333-275261, 333-276488 and 333-284224) of BioXcel Therapeutics, Inc.,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Registration Statements (Form S-8 Nos. 333-286390) pertaining to the 2017 Equity Inventive Plan, (Form S-8 Nos. 333-235282, 333-238580, 333-266922, 333-270652 and 333-278492) pertaining to the 2020 Incentive Award Plan and 2020 Employee Stock Purchase Plan of BioXcel Therapeutics, Inc. </w:t>
            </w:r>
          </w:p>
        </w:tc>
      </w:tr>
    </w:tbl>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of our report dated March 27, 2026, with respect to the consolidated financial statements of BioXcel Therapeutics, Inc. included in this Annual Report (Form 10-K) of BioXcel Therapeutics, Inc. for the year ended December 31, 2025.</w:t>
      </w:r>
    </w:p>
    <w:p>
      <w:pPr>
        <w:pStyle w:val="TextBody"/>
        <w:bidi w:val="0"/>
        <w:spacing w:before="0" w:after="16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Stamford, Connecticut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27, 2026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76" w:name="btai-20251231xex31d1.htm"/>
      <w:bookmarkStart w:id="1077" w:name="ksbtai20251231xex31d1"/>
      <w:bookmarkEnd w:id="1076"/>
      <w:bookmarkEnd w:id="1077"/>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Vimal Mehta, Ph.D.,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52"/>
        <w:gridCol w:w="109"/>
        <w:gridCol w:w="9720"/>
      </w:tblGrid>
      <w:tr>
        <w:trPr/>
        <w:tc>
          <w:tcPr>
            <w:tcW w:w="124"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2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lineRule="auto" w:line="285" w:before="0" w:after="0"/>
              <w:ind w:left="0" w:right="0" w:hanging="0"/>
              <w:jc w:val="left"/>
              <w:rPr/>
            </w:pPr>
            <w:r>
              <w:rPr/>
              <w:t>​</w:t>
            </w:r>
          </w:p>
        </w:tc>
        <w:tc>
          <w:tcPr>
            <w:tcW w:w="972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for the fiscal year ended December 31, 2025, of BioXcel Therapeutics, Inc.;</w:t>
            </w:r>
          </w:p>
        </w:tc>
      </w:tr>
    </w:tbl>
    <w:p>
      <w:pPr>
        <w:pStyle w:val="TextBody"/>
        <w:pBdr/>
        <w:bidi w:val="0"/>
        <w:spacing w:lineRule="auto" w:line="285" w:before="0" w:after="0"/>
        <w:ind w:left="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27"/>
        <w:gridCol w:w="109"/>
        <w:gridCol w:w="9745"/>
      </w:tblGrid>
      <w:tr>
        <w:trPr/>
        <w:tc>
          <w:tcPr>
            <w:tcW w:w="124"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9745"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29"/>
        <w:gridCol w:w="109"/>
        <w:gridCol w:w="9743"/>
      </w:tblGrid>
      <w:tr>
        <w:trPr/>
        <w:tc>
          <w:tcPr>
            <w:tcW w:w="124"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lineRule="auto" w:line="285" w:before="0" w:after="0"/>
              <w:ind w:left="0" w:right="0" w:hanging="0"/>
              <w:jc w:val="left"/>
              <w:rPr/>
            </w:pPr>
            <w:r>
              <w:rPr/>
              <w:t>​</w:t>
            </w:r>
          </w:p>
        </w:tc>
        <w:tc>
          <w:tcPr>
            <w:tcW w:w="97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285" w:before="0" w:after="0"/>
        <w:ind w:left="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26"/>
        <w:gridCol w:w="109"/>
        <w:gridCol w:w="9746"/>
      </w:tblGrid>
      <w:tr>
        <w:trPr/>
        <w:tc>
          <w:tcPr>
            <w:tcW w:w="1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lineRule="auto" w:line="285" w:before="0" w:after="0"/>
              <w:ind w:left="0" w:right="0" w:hanging="0"/>
              <w:jc w:val="left"/>
              <w:rPr/>
            </w:pPr>
            <w:r>
              <w:rPr/>
              <w:t>​</w:t>
            </w:r>
          </w:p>
        </w:tc>
        <w:tc>
          <w:tcPr>
            <w:tcW w:w="97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41"/>
        <w:gridCol w:w="109"/>
        <w:gridCol w:w="9731"/>
      </w:tblGrid>
      <w:tr>
        <w:trPr/>
        <w:tc>
          <w:tcPr>
            <w:tcW w:w="124"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9" w:type="dxa"/>
            <w:tcBorders/>
            <w:vAlign w:val="center"/>
          </w:tcPr>
          <w:p>
            <w:pPr>
              <w:pStyle w:val="TableContents"/>
              <w:bidi w:val="0"/>
              <w:spacing w:lineRule="auto" w:line="285" w:before="0" w:after="0"/>
              <w:ind w:left="0" w:right="0" w:hanging="0"/>
              <w:jc w:val="left"/>
              <w:rPr/>
            </w:pPr>
            <w:r>
              <w:rPr/>
              <w:t>​</w:t>
            </w:r>
          </w:p>
        </w:tc>
        <w:tc>
          <w:tcPr>
            <w:tcW w:w="97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5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56"/>
        <w:gridCol w:w="109"/>
        <w:gridCol w:w="9716"/>
      </w:tblGrid>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5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41"/>
        <w:gridCol w:w="109"/>
        <w:gridCol w:w="9731"/>
      </w:tblGrid>
      <w:tr>
        <w:trPr/>
        <w:tc>
          <w:tcPr>
            <w:tcW w:w="124"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9" w:type="dxa"/>
            <w:tcBorders/>
            <w:vAlign w:val="center"/>
          </w:tcPr>
          <w:p>
            <w:pPr>
              <w:pStyle w:val="TableContents"/>
              <w:bidi w:val="0"/>
              <w:spacing w:lineRule="auto" w:line="285" w:before="0" w:after="0"/>
              <w:ind w:left="0" w:right="0" w:hanging="0"/>
              <w:jc w:val="left"/>
              <w:rPr/>
            </w:pPr>
            <w:r>
              <w:rPr/>
              <w:t>​</w:t>
            </w:r>
          </w:p>
        </w:tc>
        <w:tc>
          <w:tcPr>
            <w:tcW w:w="97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285" w:before="0" w:after="0"/>
        <w:ind w:left="5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56"/>
        <w:gridCol w:w="109"/>
        <w:gridCol w:w="9716"/>
      </w:tblGrid>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lineRule="auto" w:line="285" w:before="0" w:after="0"/>
        <w:ind w:left="5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29"/>
        <w:gridCol w:w="109"/>
        <w:gridCol w:w="9743"/>
      </w:tblGrid>
      <w:tr>
        <w:trPr/>
        <w:tc>
          <w:tcPr>
            <w:tcW w:w="124"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43"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lineRule="auto" w:line="285" w:before="0" w:after="0"/>
              <w:ind w:left="0" w:right="0" w:hanging="0"/>
              <w:jc w:val="left"/>
              <w:rPr/>
            </w:pPr>
            <w:r>
              <w:rPr/>
              <w:t>​</w:t>
            </w:r>
          </w:p>
        </w:tc>
        <w:tc>
          <w:tcPr>
            <w:tcW w:w="97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36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41"/>
        <w:gridCol w:w="109"/>
        <w:gridCol w:w="9731"/>
      </w:tblGrid>
      <w:tr>
        <w:trPr/>
        <w:tc>
          <w:tcPr>
            <w:tcW w:w="124"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9" w:type="dxa"/>
            <w:tcBorders/>
            <w:vAlign w:val="center"/>
          </w:tcPr>
          <w:p>
            <w:pPr>
              <w:pStyle w:val="TableContents"/>
              <w:bidi w:val="0"/>
              <w:spacing w:lineRule="auto" w:line="285" w:before="0" w:after="0"/>
              <w:ind w:left="0" w:right="0" w:hanging="0"/>
              <w:jc w:val="left"/>
              <w:rPr/>
            </w:pPr>
            <w:r>
              <w:rPr/>
              <w:t>​</w:t>
            </w:r>
          </w:p>
        </w:tc>
        <w:tc>
          <w:tcPr>
            <w:tcW w:w="97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90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56"/>
        <w:gridCol w:w="109"/>
        <w:gridCol w:w="9716"/>
      </w:tblGrid>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5508" w:type="dxa"/>
        <w:jc w:val="left"/>
        <w:tblInd w:w="0" w:type="dxa"/>
        <w:tblLayout w:type="fixed"/>
        <w:tblCellMar>
          <w:top w:w="0" w:type="dxa"/>
          <w:left w:w="0" w:type="dxa"/>
          <w:bottom w:w="0" w:type="dxa"/>
          <w:right w:w="0" w:type="dxa"/>
        </w:tblCellMar>
      </w:tblPr>
      <w:tblGrid>
        <w:gridCol w:w="1891"/>
        <w:gridCol w:w="406"/>
        <w:gridCol w:w="321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pPr>
            <w:r>
              <w:rPr/>
              <w:t> </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pPr>
            <w:r>
              <w:rPr/>
              <w:t> </w:t>
            </w:r>
          </w:p>
        </w:tc>
      </w:tr>
      <w:tr>
        <w:trPr/>
        <w:tc>
          <w:tcPr>
            <w:tcW w:w="18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March 27,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8"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Vimal Mehta</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Vimal Mehta, Ph.D.</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78" w:name="btai-20251231xex31d2.htm"/>
      <w:bookmarkStart w:id="1079" w:name="ksbtai20251231xex31d2"/>
      <w:bookmarkEnd w:id="1078"/>
      <w:bookmarkEnd w:id="1079"/>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Richard Steinhart,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52"/>
        <w:gridCol w:w="109"/>
        <w:gridCol w:w="9720"/>
      </w:tblGrid>
      <w:tr>
        <w:trPr/>
        <w:tc>
          <w:tcPr>
            <w:tcW w:w="124"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2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lineRule="auto" w:line="285" w:before="0" w:after="0"/>
              <w:ind w:left="0" w:right="0" w:hanging="0"/>
              <w:jc w:val="left"/>
              <w:rPr/>
            </w:pPr>
            <w:r>
              <w:rPr/>
              <w:t>​</w:t>
            </w:r>
          </w:p>
        </w:tc>
        <w:tc>
          <w:tcPr>
            <w:tcW w:w="972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for the fiscal year ended December 31, 2025, of BioXcel Therapeutics,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27"/>
        <w:gridCol w:w="109"/>
        <w:gridCol w:w="9745"/>
      </w:tblGrid>
      <w:tr>
        <w:trPr/>
        <w:tc>
          <w:tcPr>
            <w:tcW w:w="124"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45"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9745"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29"/>
        <w:gridCol w:w="109"/>
        <w:gridCol w:w="9743"/>
      </w:tblGrid>
      <w:tr>
        <w:trPr/>
        <w:tc>
          <w:tcPr>
            <w:tcW w:w="124"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lineRule="auto" w:line="285" w:before="0" w:after="0"/>
              <w:ind w:left="0" w:right="0" w:hanging="0"/>
              <w:jc w:val="left"/>
              <w:rPr/>
            </w:pPr>
            <w:r>
              <w:rPr/>
              <w:t>​</w:t>
            </w:r>
          </w:p>
        </w:tc>
        <w:tc>
          <w:tcPr>
            <w:tcW w:w="97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285" w:before="0" w:after="0"/>
        <w:ind w:left="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26"/>
        <w:gridCol w:w="109"/>
        <w:gridCol w:w="9746"/>
      </w:tblGrid>
      <w:tr>
        <w:trPr/>
        <w:tc>
          <w:tcPr>
            <w:tcW w:w="1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lineRule="auto" w:line="285" w:before="0" w:after="0"/>
              <w:ind w:left="0" w:right="0" w:hanging="0"/>
              <w:jc w:val="left"/>
              <w:rPr/>
            </w:pPr>
            <w:r>
              <w:rPr/>
              <w:t>​</w:t>
            </w:r>
          </w:p>
        </w:tc>
        <w:tc>
          <w:tcPr>
            <w:tcW w:w="97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41"/>
        <w:gridCol w:w="109"/>
        <w:gridCol w:w="9731"/>
      </w:tblGrid>
      <w:tr>
        <w:trPr/>
        <w:tc>
          <w:tcPr>
            <w:tcW w:w="124"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3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9" w:type="dxa"/>
            <w:tcBorders/>
            <w:vAlign w:val="center"/>
          </w:tcPr>
          <w:p>
            <w:pPr>
              <w:pStyle w:val="TableContents"/>
              <w:bidi w:val="0"/>
              <w:spacing w:lineRule="auto" w:line="285" w:before="0" w:after="0"/>
              <w:ind w:left="0" w:right="0" w:hanging="0"/>
              <w:jc w:val="left"/>
              <w:rPr/>
            </w:pPr>
            <w:r>
              <w:rPr/>
              <w:t>​</w:t>
            </w:r>
          </w:p>
        </w:tc>
        <w:tc>
          <w:tcPr>
            <w:tcW w:w="97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72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56"/>
        <w:gridCol w:w="109"/>
        <w:gridCol w:w="9716"/>
      </w:tblGrid>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72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41"/>
        <w:gridCol w:w="109"/>
        <w:gridCol w:w="9731"/>
      </w:tblGrid>
      <w:tr>
        <w:trPr/>
        <w:tc>
          <w:tcPr>
            <w:tcW w:w="124"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9" w:type="dxa"/>
            <w:tcBorders/>
            <w:vAlign w:val="center"/>
          </w:tcPr>
          <w:p>
            <w:pPr>
              <w:pStyle w:val="TableContents"/>
              <w:bidi w:val="0"/>
              <w:spacing w:lineRule="auto" w:line="285" w:before="0" w:after="0"/>
              <w:ind w:left="0" w:right="0" w:hanging="0"/>
              <w:jc w:val="left"/>
              <w:rPr/>
            </w:pPr>
            <w:r>
              <w:rPr/>
              <w:t>​</w:t>
            </w:r>
          </w:p>
        </w:tc>
        <w:tc>
          <w:tcPr>
            <w:tcW w:w="97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285" w:before="0" w:after="0"/>
        <w:ind w:left="72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56"/>
        <w:gridCol w:w="109"/>
        <w:gridCol w:w="9716"/>
      </w:tblGrid>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7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29"/>
        <w:gridCol w:w="109"/>
        <w:gridCol w:w="9743"/>
      </w:tblGrid>
      <w:tr>
        <w:trPr/>
        <w:tc>
          <w:tcPr>
            <w:tcW w:w="124"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lineRule="auto" w:line="285" w:before="0" w:after="0"/>
              <w:ind w:left="0" w:right="0" w:hanging="0"/>
              <w:jc w:val="left"/>
              <w:rPr/>
            </w:pPr>
            <w:r>
              <w:rPr/>
              <w:t>​</w:t>
            </w:r>
          </w:p>
        </w:tc>
        <w:tc>
          <w:tcPr>
            <w:tcW w:w="974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36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41"/>
        <w:gridCol w:w="109"/>
        <w:gridCol w:w="9731"/>
      </w:tblGrid>
      <w:tr>
        <w:trPr/>
        <w:tc>
          <w:tcPr>
            <w:tcW w:w="124"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uto" w:line="285" w:before="0" w:after="0"/>
              <w:ind w:left="0" w:right="0" w:hanging="0"/>
              <w:jc w:val="left"/>
              <w:rPr/>
            </w:pPr>
            <w:r>
              <w:rPr/>
              <w:t>​</w:t>
            </w:r>
          </w:p>
        </w:tc>
        <w:tc>
          <w:tcPr>
            <w:tcW w:w="973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9" w:type="dxa"/>
            <w:tcBorders/>
            <w:vAlign w:val="center"/>
          </w:tcPr>
          <w:p>
            <w:pPr>
              <w:pStyle w:val="TableContents"/>
              <w:bidi w:val="0"/>
              <w:spacing w:lineRule="auto" w:line="285" w:before="0" w:after="0"/>
              <w:ind w:left="0" w:right="0" w:hanging="0"/>
              <w:jc w:val="left"/>
              <w:rPr/>
            </w:pPr>
            <w:r>
              <w:rPr/>
              <w:t>​</w:t>
            </w:r>
          </w:p>
        </w:tc>
        <w:tc>
          <w:tcPr>
            <w:tcW w:w="97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108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256"/>
        <w:gridCol w:w="109"/>
        <w:gridCol w:w="9716"/>
      </w:tblGrid>
      <w:tr>
        <w:trPr/>
        <w:tc>
          <w:tcPr>
            <w:tcW w:w="124"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9" w:type="dxa"/>
            <w:tcBorders/>
            <w:vAlign w:val="center"/>
          </w:tcPr>
          <w:p>
            <w:pPr>
              <w:pStyle w:val="TableContents"/>
              <w:bidi w:val="0"/>
              <w:spacing w:lineRule="auto" w:line="285" w:before="0" w:after="0"/>
              <w:ind w:left="0" w:right="0" w:hanging="0"/>
              <w:jc w:val="left"/>
              <w:rPr/>
            </w:pPr>
            <w:r>
              <w:rPr/>
              <w:t>​</w:t>
            </w:r>
          </w:p>
        </w:tc>
        <w:tc>
          <w:tcPr>
            <w:tcW w:w="97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4713" w:type="dxa"/>
        <w:jc w:val="left"/>
        <w:tblInd w:w="0" w:type="dxa"/>
        <w:tblLayout w:type="fixed"/>
        <w:tblCellMar>
          <w:top w:w="0" w:type="dxa"/>
          <w:left w:w="0" w:type="dxa"/>
          <w:bottom w:w="0" w:type="dxa"/>
          <w:right w:w="0" w:type="dxa"/>
        </w:tblCellMar>
      </w:tblPr>
      <w:tblGrid>
        <w:gridCol w:w="1891"/>
        <w:gridCol w:w="406"/>
        <w:gridCol w:w="2416"/>
      </w:tblGrid>
      <w:tr>
        <w:trPr/>
        <w:tc>
          <w:tcPr>
            <w:tcW w:w="18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March 27,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Richard Steinhart</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24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24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24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80" w:name="btai-20251231xex32d1.htm"/>
      <w:bookmarkStart w:id="1081" w:name="ksbtai20251231xex32d1"/>
      <w:bookmarkEnd w:id="1080"/>
      <w:bookmarkEnd w:id="1081"/>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on Form 10-K of BioXcel Therapeutics, Inc. (the “Company”) for the fiscal year ended December 31, 2025, as filed with the Securities and Exchange Commission on the date hereof (the “Report”), the undersigned hereby certifies, pursuant to 18 U.S.C. Section 1350, as adopted pursuant to Section 906 of the Sarbanes-Oxley Act of 2002, that to the best of his knowledge:</w:t>
      </w:r>
    </w:p>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320"/>
        <w:gridCol w:w="109"/>
        <w:gridCol w:w="9652"/>
      </w:tblGrid>
      <w:tr>
        <w:trPr/>
        <w:tc>
          <w:tcPr>
            <w:tcW w:w="124" w:type="dxa"/>
            <w:tcBorders/>
            <w:vAlign w:val="center"/>
          </w:tcPr>
          <w:p>
            <w:pPr>
              <w:pStyle w:val="TableContents"/>
              <w:bidi w:val="0"/>
              <w:spacing w:lineRule="auto" w:line="285" w:before="0" w:after="0"/>
              <w:ind w:left="0" w:right="0" w:hanging="0"/>
              <w:jc w:val="left"/>
              <w:rPr/>
            </w:pPr>
            <w:r>
              <w:rPr/>
              <w:t>​</w:t>
            </w:r>
          </w:p>
        </w:tc>
        <w:tc>
          <w:tcPr>
            <w:tcW w:w="32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lineRule="auto" w:line="285" w:before="0" w:after="0"/>
              <w:ind w:left="0" w:right="0" w:hanging="0"/>
              <w:jc w:val="left"/>
              <w:rPr/>
            </w:pPr>
            <w:r>
              <w:rPr/>
              <w:t>​</w:t>
            </w:r>
          </w:p>
        </w:tc>
        <w:tc>
          <w:tcPr>
            <w:tcW w:w="965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as amended; and</w:t>
            </w:r>
          </w:p>
        </w:tc>
      </w:tr>
    </w:tbl>
    <w:p>
      <w:pPr>
        <w:pStyle w:val="TextBody"/>
        <w:bidi w:val="0"/>
        <w:spacing w:lineRule="auto" w:line="285" w:before="0" w:after="0"/>
        <w:ind w:left="85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318"/>
        <w:gridCol w:w="109"/>
        <w:gridCol w:w="9654"/>
      </w:tblGrid>
      <w:tr>
        <w:trPr/>
        <w:tc>
          <w:tcPr>
            <w:tcW w:w="124" w:type="dxa"/>
            <w:tcBorders/>
            <w:vAlign w:val="center"/>
          </w:tcPr>
          <w:p>
            <w:pPr>
              <w:pStyle w:val="TableContents"/>
              <w:bidi w:val="0"/>
              <w:spacing w:lineRule="auto" w:line="285" w:before="0" w:after="0"/>
              <w:ind w:left="0" w:right="0" w:hanging="0"/>
              <w:jc w:val="left"/>
              <w:rPr/>
            </w:pPr>
            <w:r>
              <w:rPr/>
              <w:t>​</w:t>
            </w:r>
          </w:p>
        </w:tc>
        <w:tc>
          <w:tcPr>
            <w:tcW w:w="318"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9654"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720" w:right="0" w:hanging="0"/>
        <w:jc w:val="left"/>
        <w:rPr/>
      </w:pPr>
      <w:r>
        <w:rPr/>
        <w:t> </w:t>
      </w:r>
    </w:p>
    <w:p>
      <w:pPr>
        <w:pStyle w:val="TextBody"/>
        <w:bidi w:val="0"/>
        <w:spacing w:lineRule="auto" w:line="285" w:before="0" w:after="0"/>
        <w:ind w:left="0" w:right="0" w:hanging="0"/>
        <w:jc w:val="left"/>
        <w:rPr/>
      </w:pPr>
      <w:r>
        <w:rPr/>
        <w:t> </w:t>
      </w:r>
    </w:p>
    <w:tbl>
      <w:tblPr>
        <w:tblW w:w="5654" w:type="dxa"/>
        <w:jc w:val="left"/>
        <w:tblInd w:w="0" w:type="dxa"/>
        <w:tblLayout w:type="fixed"/>
        <w:tblCellMar>
          <w:top w:w="0" w:type="dxa"/>
          <w:left w:w="0" w:type="dxa"/>
          <w:bottom w:w="0" w:type="dxa"/>
          <w:right w:w="0" w:type="dxa"/>
        </w:tblCellMar>
      </w:tblPr>
      <w:tblGrid>
        <w:gridCol w:w="1891"/>
        <w:gridCol w:w="406"/>
        <w:gridCol w:w="146"/>
        <w:gridCol w:w="321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14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pPr>
            <w:r>
              <w:rPr/>
              <w:t> </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14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pPr>
            <w:r>
              <w:rPr/>
              <w:t> </w:t>
            </w:r>
          </w:p>
        </w:tc>
      </w:tr>
      <w:tr>
        <w:trPr/>
        <w:tc>
          <w:tcPr>
            <w:tcW w:w="18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March 27,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04" w:before="0" w:after="0"/>
              <w:ind w:left="0" w:right="0" w:hanging="0"/>
              <w:jc w:val="left"/>
              <w:rPr/>
            </w:pPr>
            <w:r>
              <w:rPr/>
              <w:t> </w:t>
            </w:r>
          </w:p>
        </w:tc>
        <w:tc>
          <w:tcPr>
            <w:tcW w:w="3211" w:type="dxa"/>
            <w:tcBorders>
              <w:bottom w:val="single" w:sz="8"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Vimal Mehta</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14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Vimal Mehta, Ph.D.</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14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146" w:type="dxa"/>
            <w:tcBorders/>
            <w:vAlign w:val="center"/>
          </w:tcPr>
          <w:p>
            <w:pPr>
              <w:pStyle w:val="TableContents"/>
              <w:bidi w:val="0"/>
              <w:spacing w:lineRule="auto" w:line="304" w:before="0" w:after="0"/>
              <w:ind w:left="0" w:right="0" w:hanging="0"/>
              <w:jc w:val="left"/>
              <w:rPr/>
            </w:pPr>
            <w:r>
              <w:rPr/>
              <w:t> </w:t>
            </w:r>
          </w:p>
        </w:tc>
        <w:tc>
          <w:tcPr>
            <w:tcW w:w="3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82" w:name="btai-20251231xex32d2.htm"/>
      <w:bookmarkStart w:id="1083" w:name="ksbtai20251231xex32d2"/>
      <w:bookmarkEnd w:id="1082"/>
      <w:bookmarkEnd w:id="1083"/>
      <w:r>
        <w:rPr>
          <w:rFonts w:ascii="Times New Roman;Times;serif" w:hAnsi="Times New Roman;Time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on Form 10-K of BioXcel Therapeutics, Inc. (the “Company”) for the fiscal year ended December 31, 2025, as filed with the Securities and Exchange Commission on the date hereof (the “Report”), the undersigned hereby certifies, pursuant to 18 U.S.C. Section 1350, as adopted pursuant to Section 906 of the Sarbanes-Oxley Act of 2002, that to the best of his knowledge:</w:t>
      </w:r>
    </w:p>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320"/>
        <w:gridCol w:w="109"/>
        <w:gridCol w:w="9652"/>
      </w:tblGrid>
      <w:tr>
        <w:trPr/>
        <w:tc>
          <w:tcPr>
            <w:tcW w:w="124" w:type="dxa"/>
            <w:tcBorders/>
            <w:vAlign w:val="center"/>
          </w:tcPr>
          <w:p>
            <w:pPr>
              <w:pStyle w:val="TableContents"/>
              <w:bidi w:val="0"/>
              <w:spacing w:lineRule="auto" w:line="285" w:before="0" w:after="0"/>
              <w:ind w:left="0" w:right="0" w:hanging="0"/>
              <w:jc w:val="left"/>
              <w:rPr/>
            </w:pPr>
            <w:r>
              <w:rPr/>
              <w:t>​</w:t>
            </w:r>
          </w:p>
        </w:tc>
        <w:tc>
          <w:tcPr>
            <w:tcW w:w="32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lineRule="auto" w:line="285" w:before="0" w:after="0"/>
              <w:ind w:left="0" w:right="0" w:hanging="0"/>
              <w:jc w:val="left"/>
              <w:rPr/>
            </w:pPr>
            <w:r>
              <w:rPr/>
              <w:t>​</w:t>
            </w:r>
          </w:p>
        </w:tc>
        <w:tc>
          <w:tcPr>
            <w:tcW w:w="965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as amended; and</w:t>
            </w:r>
          </w:p>
        </w:tc>
      </w:tr>
    </w:tbl>
    <w:p>
      <w:pPr>
        <w:pStyle w:val="TextBody"/>
        <w:bidi w:val="0"/>
        <w:spacing w:lineRule="auto" w:line="285" w:before="0" w:after="0"/>
        <w:ind w:left="85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318"/>
        <w:gridCol w:w="109"/>
        <w:gridCol w:w="9654"/>
      </w:tblGrid>
      <w:tr>
        <w:trPr/>
        <w:tc>
          <w:tcPr>
            <w:tcW w:w="124" w:type="dxa"/>
            <w:tcBorders/>
            <w:vAlign w:val="center"/>
          </w:tcPr>
          <w:p>
            <w:pPr>
              <w:pStyle w:val="TableContents"/>
              <w:bidi w:val="0"/>
              <w:spacing w:lineRule="auto" w:line="285" w:before="0" w:after="0"/>
              <w:ind w:left="0" w:right="0" w:hanging="0"/>
              <w:jc w:val="left"/>
              <w:rPr/>
            </w:pPr>
            <w:r>
              <w:rPr/>
              <w:t>​</w:t>
            </w:r>
          </w:p>
        </w:tc>
        <w:tc>
          <w:tcPr>
            <w:tcW w:w="318"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9654"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tbl>
      <w:tblPr>
        <w:tblW w:w="4713" w:type="dxa"/>
        <w:jc w:val="left"/>
        <w:tblInd w:w="0" w:type="dxa"/>
        <w:tblLayout w:type="fixed"/>
        <w:tblCellMar>
          <w:top w:w="0" w:type="dxa"/>
          <w:left w:w="0" w:type="dxa"/>
          <w:bottom w:w="0" w:type="dxa"/>
          <w:right w:w="0" w:type="dxa"/>
        </w:tblCellMar>
      </w:tblPr>
      <w:tblGrid>
        <w:gridCol w:w="1891"/>
        <w:gridCol w:w="406"/>
        <w:gridCol w:w="2416"/>
      </w:tblGrid>
      <w:tr>
        <w:trPr/>
        <w:tc>
          <w:tcPr>
            <w:tcW w:w="189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 </w:t>
            </w:r>
          </w:p>
        </w:tc>
        <w:tc>
          <w:tcPr>
            <w:tcW w:w="2416" w:type="dxa"/>
            <w:tcBorders/>
            <w:vAlign w:val="center"/>
          </w:tcPr>
          <w:p>
            <w:pPr>
              <w:pStyle w:val="TableContents"/>
              <w:bidi w:val="0"/>
              <w:spacing w:lineRule="auto" w:line="304" w:before="0" w:after="0"/>
              <w:ind w:left="0" w:right="0" w:hanging="0"/>
              <w:jc w:val="left"/>
              <w:rPr/>
            </w:pPr>
            <w:r>
              <w:rPr/>
              <w:t> </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2416" w:type="dxa"/>
            <w:tcBorders/>
            <w:vAlign w:val="center"/>
          </w:tcPr>
          <w:p>
            <w:pPr>
              <w:pStyle w:val="TableContents"/>
              <w:bidi w:val="0"/>
              <w:spacing w:lineRule="auto" w:line="304" w:before="0" w:after="0"/>
              <w:ind w:left="0" w:right="0" w:hanging="0"/>
              <w:jc w:val="left"/>
              <w:rPr/>
            </w:pPr>
            <w:r>
              <w:rPr/>
              <w:t> </w:t>
            </w:r>
          </w:p>
        </w:tc>
      </w:tr>
      <w:tr>
        <w:trPr/>
        <w:tc>
          <w:tcPr>
            <w:tcW w:w="189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March 27,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Richard Steinhart</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24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Richard Steinhart</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24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91" w:type="dxa"/>
            <w:tcBorders/>
            <w:vAlign w:val="center"/>
          </w:tcPr>
          <w:p>
            <w:pPr>
              <w:pStyle w:val="TableContents"/>
              <w:bidi w:val="0"/>
              <w:spacing w:lineRule="auto" w:line="304" w:before="0" w:after="0"/>
              <w:ind w:left="0" w:right="0" w:hanging="0"/>
              <w:jc w:val="left"/>
              <w:rPr/>
            </w:pPr>
            <w:r>
              <w:rPr/>
              <w:t> </w:t>
            </w:r>
          </w:p>
        </w:tc>
        <w:tc>
          <w:tcPr>
            <w:tcW w:w="406" w:type="dxa"/>
            <w:tcBorders/>
            <w:vAlign w:val="center"/>
          </w:tcPr>
          <w:p>
            <w:pPr>
              <w:pStyle w:val="TableContents"/>
              <w:bidi w:val="0"/>
              <w:spacing w:lineRule="auto" w:line="304" w:before="0" w:after="0"/>
              <w:ind w:left="0" w:right="0" w:hanging="0"/>
              <w:jc w:val="left"/>
              <w:rPr/>
            </w:pPr>
            <w:r>
              <w:rPr/>
              <w:t> </w:t>
            </w:r>
          </w:p>
        </w:tc>
        <w:tc>
          <w:tcPr>
            <w:tcW w:w="241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lfaen">
    <w:charset w:val="01"/>
    <w:family w:val="auto"/>
    <w:pitch w:val="default"/>
  </w:font>
  <w:font w:name="Times">
    <w:altName w:val="Times New Roman"/>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hyperlink" Target="https://www.sec.gov/Archives/edgar/data/1720893/000155837024003784/btai-20231231xex97d1.htm" TargetMode="External"/><Relationship Id="rId7" Type="http://schemas.openxmlformats.org/officeDocument/2006/relationships/hyperlink" Target="http://www.sec.gov/Archives/edgar/data/1720893/000110465918016770/a18-8090_1ex3d1.htm" TargetMode="External"/><Relationship Id="rId8" Type="http://schemas.openxmlformats.org/officeDocument/2006/relationships/hyperlink" Target="https://www.sec.gov/Archives/edgar/data/1720893/000110465924070503/tm249625d6_ex3-1.htm" TargetMode="External"/><Relationship Id="rId9" Type="http://schemas.openxmlformats.org/officeDocument/2006/relationships/hyperlink" Target="https://www.sec.gov/Archives/edgar/data/1720893/000110465925009906/tm255604d1_ex3-1.htm" TargetMode="External"/><Relationship Id="rId10" Type="http://schemas.openxmlformats.org/officeDocument/2006/relationships/hyperlink" Target="http://www.sec.gov/Archives/edgar/data/1720893/000110465918016770/a18-8090_1ex3d2.htm" TargetMode="External"/><Relationship Id="rId11" Type="http://schemas.openxmlformats.org/officeDocument/2006/relationships/hyperlink" Target="https://www.sec.gov/Archives/edgar/data/1720893/000110465923123807/tm2332261d1_ex4-1.htm" TargetMode="External"/><Relationship Id="rId12" Type="http://schemas.openxmlformats.org/officeDocument/2006/relationships/hyperlink" Target="https://www.sec.gov/Archives/edgar/data/1720893/000110465923123807/tm2332261d1_ex4-2.htm" TargetMode="External"/><Relationship Id="rId13" Type="http://schemas.openxmlformats.org/officeDocument/2006/relationships/hyperlink" Target="https://www.sec.gov/Archives/edgar/data/1720893/000110465924038441/tm249625d2_ex4-1.htm" TargetMode="External"/><Relationship Id="rId14" Type="http://schemas.openxmlformats.org/officeDocument/2006/relationships/hyperlink" Target="https://www.sec.gov/Archives/edgar/data/1720893/000110465924038441/tm249625d2_ex4-2.htm" TargetMode="External"/><Relationship Id="rId15" Type="http://schemas.openxmlformats.org/officeDocument/2006/relationships/hyperlink" Target="https://www.sec.gov/Archives/edgar/data/1720893/000110465924121582/tm2428677d2_ex4-1.htm" TargetMode="External"/><Relationship Id="rId16" Type="http://schemas.openxmlformats.org/officeDocument/2006/relationships/hyperlink" Target="https://www.sec.gov/Archives/edgar/data/1720893/000110465924122587/tm2428677d4_ex4-1.htm" TargetMode="External"/><Relationship Id="rId17" Type="http://schemas.openxmlformats.org/officeDocument/2006/relationships/hyperlink" Target="https://www.sec.gov/Archives/edgar/data/1720893/000110465924122587/tm2428677d4_ex4-2.htm" TargetMode="External"/><Relationship Id="rId18" Type="http://schemas.openxmlformats.org/officeDocument/2006/relationships/hyperlink" Target="https://www.sec.gov/Archives/edgar/data/1720893/000110465925002583/tm251419d2_ex4-3.htm" TargetMode="External"/><Relationship Id="rId19" Type="http://schemas.openxmlformats.org/officeDocument/2006/relationships/hyperlink" Target="https://www.sec.gov/Archives/edgar/data/1720893/000155837024003784/btai-20231231xex4d6.htm" TargetMode="External"/><Relationship Id="rId20" Type="http://schemas.openxmlformats.org/officeDocument/2006/relationships/hyperlink" Target="https://www.sec.gov/Archives/edgar/data/1720893/000110465924121582/tm2428677d2_ex4-2.htm" TargetMode="External"/><Relationship Id="rId21" Type="http://schemas.openxmlformats.org/officeDocument/2006/relationships/hyperlink" Target="https://www.sec.gov/Archives/edgar/data/1720893/000155837020002196/btai-20191231ex102ae7793.htm" TargetMode="External"/><Relationship Id="rId22" Type="http://schemas.openxmlformats.org/officeDocument/2006/relationships/hyperlink" Target="https://www.sec.gov/Archives/edgar/data/1720893/000155837020002196/btai-20191231ex102ae7793.htm" TargetMode="External"/><Relationship Id="rId23" Type="http://schemas.openxmlformats.org/officeDocument/2006/relationships/hyperlink" Target="https://www.sec.gov/Archives/edgar/data/1720893/000155837020002196/btai-20191231ex102ae7793.htm" TargetMode="External"/><Relationship Id="rId24" Type="http://schemas.openxmlformats.org/officeDocument/2006/relationships/hyperlink" Target="https://www.sec.gov/Archives/edgar/data/1720893/000155837021002916/btai-20201231ex1034633bc.htm" TargetMode="External"/><Relationship Id="rId25" Type="http://schemas.openxmlformats.org/officeDocument/2006/relationships/hyperlink" Target="https://www.sec.gov/Archives/edgar/data/1720893/000155837021002916/btai-20201231ex1034633bc.htm" TargetMode="External"/><Relationship Id="rId26" Type="http://schemas.openxmlformats.org/officeDocument/2006/relationships/hyperlink" Target="https://www.sec.gov/Archives/edgar/data/1720893/000155837021002916/btai-20201231ex1034633bc.htm" TargetMode="External"/><Relationship Id="rId27" Type="http://schemas.openxmlformats.org/officeDocument/2006/relationships/hyperlink" Target="https://www.sec.gov/Archives/edgar/data/1720893/000155837023008597/btai-20230331xex10d2.htm" TargetMode="External"/><Relationship Id="rId28" Type="http://schemas.openxmlformats.org/officeDocument/2006/relationships/hyperlink" Target="http://www.sec.gov/Archives/edgar/data/1720893/000104746918000756/a2234454zex-10_2.htm" TargetMode="External"/><Relationship Id="rId29" Type="http://schemas.openxmlformats.org/officeDocument/2006/relationships/hyperlink" Target="http://www.sec.gov/Archives/edgar/data/1720893/000110465918053383/a18-21149_1ex10d1.htm" TargetMode="External"/><Relationship Id="rId30" Type="http://schemas.openxmlformats.org/officeDocument/2006/relationships/hyperlink" Target="https://www.sec.gov/Archives/edgar/data/1720893/000155837020013632/btai-20200930ex1018d184a.htm" TargetMode="External"/><Relationship Id="rId31" Type="http://schemas.openxmlformats.org/officeDocument/2006/relationships/hyperlink" Target="http://www.sec.gov/Archives/edgar/data/1720893/000104746918000756/a2234454zex-10_3.htm" TargetMode="External"/><Relationship Id="rId32" Type="http://schemas.openxmlformats.org/officeDocument/2006/relationships/hyperlink" Target="http://www.sec.gov/Archives/edgar/data/1720893/000104746918000756/a2234454zex-10_4.htm" TargetMode="External"/><Relationship Id="rId33" Type="http://schemas.openxmlformats.org/officeDocument/2006/relationships/hyperlink" Target="http://www.sec.gov/Archives/edgar/data/1720893/000104746918000756/a2234454zex-10_5.htm" TargetMode="External"/><Relationship Id="rId34" Type="http://schemas.openxmlformats.org/officeDocument/2006/relationships/hyperlink" Target="https://www.sec.gov/Archives/edgar/data/1720893/000155837020010611/btai-20200630ex101dd8d33.htm" TargetMode="External"/><Relationship Id="rId35" Type="http://schemas.openxmlformats.org/officeDocument/2006/relationships/hyperlink" Target="https://www.sec.gov/Archives/edgar/data/1720893/000110465920064759/tm2020394d1_ex10-2.htm" TargetMode="External"/><Relationship Id="rId36" Type="http://schemas.openxmlformats.org/officeDocument/2006/relationships/hyperlink" Target="http://www.sec.gov/Archives/edgar/data/1720893/000104746918000756/a2234454zex-10_6.htm" TargetMode="External"/><Relationship Id="rId37" Type="http://schemas.openxmlformats.org/officeDocument/2006/relationships/hyperlink" Target="http://www.sec.gov/Archives/edgar/data/1720893/000110465918016770/a18-8090_1ex10d1.htm" TargetMode="External"/><Relationship Id="rId38" Type="http://schemas.openxmlformats.org/officeDocument/2006/relationships/hyperlink" Target="https://www.sec.gov/Archives/edgar/data/1720893/000110465925001869/tm252221d1_ex10-1.htm" TargetMode="External"/><Relationship Id="rId39" Type="http://schemas.openxmlformats.org/officeDocument/2006/relationships/hyperlink" Target="http://www.sec.gov/Archives/edgar/data/1720893/000104746918000756/a2234454zex-10_11.htm" TargetMode="External"/><Relationship Id="rId40" Type="http://schemas.openxmlformats.org/officeDocument/2006/relationships/hyperlink" Target="https://www.sec.gov/Archives/edgar/data/1720893/000110465925001869/tm252221d1_ex10-3.htm" TargetMode="External"/><Relationship Id="rId41" Type="http://schemas.openxmlformats.org/officeDocument/2006/relationships/hyperlink" Target="http://www.sec.gov/Archives/edgar/data/1720893/000104746918000756/a2234454zex-10_12.htm" TargetMode="External"/><Relationship Id="rId42" Type="http://schemas.openxmlformats.org/officeDocument/2006/relationships/hyperlink" Target="https://www.sec.gov/Archives/edgar/data/1720893/000110465925001869/tm252221d1_ex10-2.htm" TargetMode="External"/><Relationship Id="rId43" Type="http://schemas.openxmlformats.org/officeDocument/2006/relationships/hyperlink" Target="http://www.sec.gov/Archives/edgar/data/1720893/000110465918038902/a18-14962_1ex10d1.htm" TargetMode="External"/><Relationship Id="rId44" Type="http://schemas.openxmlformats.org/officeDocument/2006/relationships/hyperlink" Target="https://www.sec.gov/Archives/edgar/data/0001720893/000155837021002916/btai-20201231ex101943a8b.htm" TargetMode="External"/><Relationship Id="rId45" Type="http://schemas.openxmlformats.org/officeDocument/2006/relationships/hyperlink" Target="https://www.sec.gov/Archives/edgar/data/1720893/000110465924107327/tm2425903d1_ex10-1.htm" TargetMode="External"/><Relationship Id="rId46" Type="http://schemas.openxmlformats.org/officeDocument/2006/relationships/hyperlink" Target="https://www.sec.gov/Archives/edgar/data/1720893/000110465924107327/tm2425903d1_ex10-2.htm" TargetMode="External"/><Relationship Id="rId47" Type="http://schemas.openxmlformats.org/officeDocument/2006/relationships/hyperlink" Target="https://www.sec.gov/Archives/edgar/data/1720893/000155837023008597/btai-20230331xex10d2.htm" TargetMode="External"/><Relationship Id="rId48" Type="http://schemas.openxmlformats.org/officeDocument/2006/relationships/hyperlink" Target="https://www.sec.gov/Archives/edgar/data/1720893/000155837022013353/btai-20220630xex10d4.htm" TargetMode="External"/><Relationship Id="rId49" Type="http://schemas.openxmlformats.org/officeDocument/2006/relationships/hyperlink" Target="https://www.sec.gov/Archives/edgar/data/1720893/000155837022007805/btai-20220331xex10d1.htm" TargetMode="External"/><Relationship Id="rId50" Type="http://schemas.openxmlformats.org/officeDocument/2006/relationships/hyperlink" Target="https://www.sec.gov/Archives/edgar/data/1720893/000155837022013353/btai-20220630xex10d1.htm" TargetMode="External"/><Relationship Id="rId51" Type="http://schemas.openxmlformats.org/officeDocument/2006/relationships/hyperlink" Target="https://www.sec.gov/Archives/edgar/data/1720893/000155837023018917/btai-20230930xex10d2.htm" TargetMode="External"/><Relationship Id="rId52" Type="http://schemas.openxmlformats.org/officeDocument/2006/relationships/hyperlink" Target="https://www.sec.gov/Archives/edgar/data/1720893/000110465924012333/tm244487d1_ex10-1.htm" TargetMode="External"/><Relationship Id="rId53" Type="http://schemas.openxmlformats.org/officeDocument/2006/relationships/hyperlink" Target="https://www.sec.gov/Archives/edgar/data/1720893/000110465924012333/tm244487d1_ex10-1.htm" TargetMode="External"/><Relationship Id="rId54" Type="http://schemas.openxmlformats.org/officeDocument/2006/relationships/hyperlink" Target="https://www.sec.gov/Archives/edgar/data/1720893/000110465924014028/tm244487d3_ex10-1.htm" TargetMode="External"/><Relationship Id="rId55" Type="http://schemas.openxmlformats.org/officeDocument/2006/relationships/hyperlink" Target="https://www.sec.gov/Archives/edgar/data/1720893/000155837024003784/btai-20231231xex10d224.htm" TargetMode="External"/><Relationship Id="rId56" Type="http://schemas.openxmlformats.org/officeDocument/2006/relationships/hyperlink" Target="https://www.sec.gov/Archives/edgar/data/1720893/000110465924121582/tm2428677d2_ex10-1.htm" TargetMode="External"/><Relationship Id="rId57" Type="http://schemas.openxmlformats.org/officeDocument/2006/relationships/hyperlink" Target="https://www.sec.gov/Archives/edgar/data/1720893/000155837022013353/btai-20220630xex10d3.htm" TargetMode="External"/><Relationship Id="rId58" Type="http://schemas.openxmlformats.org/officeDocument/2006/relationships/hyperlink" Target="https://www.sec.gov/Archives/edgar/data/1720893/000155837024010967/btai-20240630xex10d1.htm" TargetMode="External"/><Relationship Id="rId59" Type="http://schemas.openxmlformats.org/officeDocument/2006/relationships/hyperlink" Target="https://www.sec.gov/Archives/edgar/data/1720893/000110465922092973/tm2223745d1_ex10-1.htm" TargetMode="External"/><Relationship Id="rId60" Type="http://schemas.openxmlformats.org/officeDocument/2006/relationships/hyperlink" Target="https://www.sec.gov/Archives/edgar/data/1720893/000110465922092973/tm2223745d1_ex10-2.htm" TargetMode="External"/><Relationship Id="rId61" Type="http://schemas.openxmlformats.org/officeDocument/2006/relationships/hyperlink" Target="https://www.sec.gov/Archives/edgar/data/1720893/000155837023008597/btai-20230331xex10d3.htm" TargetMode="External"/><Relationship Id="rId62" Type="http://schemas.openxmlformats.org/officeDocument/2006/relationships/hyperlink" Target="https://www.sec.gov/Archives/edgar/data/1720893/000110465923103556/tm2326812d1_ex10-1.htm" TargetMode="External"/><Relationship Id="rId63" Type="http://schemas.openxmlformats.org/officeDocument/2006/relationships/hyperlink" Target="https://www.sec.gov/Archives/edgar/data/1720893/000110465926026409/tm268136d3_ex4-1.htm" TargetMode="External"/><Relationship Id="rId64" Type="http://schemas.openxmlformats.org/officeDocument/2006/relationships/hyperlink" Target="https://www.sec.gov/Archives/edgar/data/1720893/000110465926026409/tm268136d3_ex4-2.htm" TargetMode="External"/><Relationship Id="rId65" Type="http://schemas.openxmlformats.org/officeDocument/2006/relationships/hyperlink" Target="https://www.sec.gov/Archives/edgar/data/1720893/000110465926026409/tm268136d3_ex4-3.htm" TargetMode="External"/><Relationship Id="rId66" Type="http://schemas.openxmlformats.org/officeDocument/2006/relationships/hyperlink" Target="https://www.sec.gov/Archives/edgar/data/0001720893/000110465926026409/tm268136d3_ex10-1.htm" TargetMode="External"/><Relationship Id="rId67" Type="http://schemas.openxmlformats.org/officeDocument/2006/relationships/hyperlink" Target="https://www.sec.gov/Archives/edgar/data/1720893/000110465926026409/tm268136d3_ex10-2.htm" TargetMode="External"/><Relationship Id="rId68" Type="http://schemas.openxmlformats.org/officeDocument/2006/relationships/hyperlink" Target="https://www.sec.gov/Archives/edgar/data/1720893/000155837024003784/btai-20231231xex97d1.htm" TargetMode="External"/><Relationship Id="rId69" Type="http://schemas.openxmlformats.org/officeDocument/2006/relationships/image" Target="media/image4.jpeg"/><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168327</Words>
  <Characters>925350</Characters>
  <CharactersWithSpaces>1095750</CharactersWithSpaces>
  <Paragraphs>15390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