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296-1_3seq1.xml.htm"/>
      <w:bookmarkStart w:id="1" w:name="kstm2623296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Atkins Susan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BIOXCEL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LONG WHARF DRIVE,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BioXcel Therapeutics, Inc.</w:t>
              </w:r>
            </w:hyperlink>
            <w:r>
              <w:rPr/>
              <w:t xml:space="preserve"> [ </w:t>
            </w:r>
            <w:r>
              <w:rPr>
                <w:rFonts w:ascii="Times;serif" w:hAnsi="Times;serif"/>
                <w:color w:val="0000FF"/>
                <w:sz w:val="24"/>
                <w:shd w:fill="FFFFFF" w:val="clear"/>
              </w:rPr>
              <w:t>BTAI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Javier Rodriguez, Attorney-in-Fact for Susan E. Atkins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23296d1_ex24.htm"/>
      <w:bookmarkStart w:id="3" w:name="kstm2623296d1_ex24"/>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holdings of and transactions in securities issued by BioXcel Therapeutics, Inc. (the "Company"), the undersigned hereby constitutes and appoints the individuals named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left"/>
              <w:rPr/>
            </w:pPr>
            <w:r>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2.</w:t>
            </w:r>
          </w:p>
        </w:tc>
        <w:tc>
          <w:tcPr>
            <w:tcW w:w="9993" w:type="dxa"/>
            <w:tcBorders/>
            <w:vAlign w:val="center"/>
          </w:tcPr>
          <w:p>
            <w:pPr>
              <w:pStyle w:val="TableContents"/>
              <w:bidi w:val="0"/>
              <w:spacing w:before="0" w:after="283"/>
              <w:jc w:val="left"/>
              <w:rPr/>
            </w:pPr>
            <w:r>
              <w:rPr/>
              <w:t>execute for and on behalf of the undersigned, Forms 3, 4, and 5 in accordance with Section 16 of the Securities Exchange Act of 1934, as amended, and the rules thereunder;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3.</w:t>
            </w:r>
          </w:p>
        </w:tc>
        <w:tc>
          <w:tcPr>
            <w:tcW w:w="10009" w:type="dxa"/>
            <w:tcBorders/>
            <w:vAlign w:val="center"/>
          </w:tcPr>
          <w:p>
            <w:pPr>
              <w:pStyle w:val="TableContents"/>
              <w:bidi w:val="0"/>
              <w:spacing w:before="0" w:after="283"/>
              <w:jc w:val="left"/>
              <w:rPr/>
            </w:pPr>
            <w:r>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4.</w:t>
            </w:r>
          </w:p>
        </w:tc>
        <w:tc>
          <w:tcPr>
            <w:tcW w:w="10016" w:type="dxa"/>
            <w:tcBorders/>
            <w:vAlign w:val="center"/>
          </w:tcPr>
          <w:p>
            <w:pPr>
              <w:pStyle w:val="TableContents"/>
              <w:bidi w:val="0"/>
              <w:spacing w:before="0" w:after="283"/>
              <w:jc w:val="left"/>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 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any Company assuming, any of the undersigned's responsibilities to comply with Section 16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hanging="0"/>
        <w:jc w:val="left"/>
        <w:rPr>
          <w:caps w:val="false"/>
          <w:smallCaps w:val="false"/>
        </w:rPr>
      </w:pPr>
      <w:r>
        <w:rPr>
          <w:caps w:val="false"/>
          <w:smallCaps w:val="false"/>
        </w:rPr>
        <w:t> </w:t>
      </w:r>
    </w:p>
    <w:tbl>
      <w:tblPr>
        <w:tblW w:w="1625" w:type="dxa"/>
        <w:jc w:val="left"/>
        <w:tblInd w:w="0" w:type="dxa"/>
        <w:tblLayout w:type="fixed"/>
        <w:tblCellMar>
          <w:top w:w="0" w:type="dxa"/>
          <w:left w:w="0" w:type="dxa"/>
          <w:bottom w:w="0" w:type="dxa"/>
          <w:right w:w="0" w:type="dxa"/>
        </w:tblCellMar>
      </w:tblPr>
      <w:tblGrid>
        <w:gridCol w:w="75"/>
        <w:gridCol w:w="1550"/>
      </w:tblGrid>
      <w:tr>
        <w:trPr/>
        <w:tc>
          <w:tcPr>
            <w:tcW w:w="75" w:type="dxa"/>
            <w:tcBorders/>
            <w:vAlign w:val="center"/>
          </w:tcPr>
          <w:p>
            <w:pPr>
              <w:pStyle w:val="TableContents"/>
              <w:bidi w:val="0"/>
              <w:spacing w:before="0" w:after="283"/>
              <w:jc w:val="left"/>
              <w:rPr/>
            </w:pPr>
            <w:r>
              <w:rPr/>
              <w:t> </w:t>
            </w:r>
          </w:p>
        </w:tc>
        <w:tc>
          <w:tcPr>
            <w:tcW w:w="15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Susan E. Atkins</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Susan E. Atkins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Appointed as Attorney-in-Fact with Full Power of Substitution and Resubstitution: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Javier Rodriguez, Chief Legal Officer &amp; Corporate Secretary</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Richard Steinhart,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1494" TargetMode="External"/><Relationship Id="rId3" Type="http://schemas.openxmlformats.org/officeDocument/2006/relationships/hyperlink" Target="http://www.sec.gov/cgi-bin/browse-edgar?action=getcompany&amp;CIK=000172089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980</Words>
  <Characters>5241</Characters>
  <CharactersWithSpaces>6183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