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3861d1_8k.htm"/>
      <w:bookmarkStart w:id="1" w:name="kstm2623861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A_edei--DocumentType_c20260821__20"/>
      <w:bookmarkEnd w:id="2"/>
      <w:r>
        <w:rPr>
          <w:rFonts w:ascii="Times New Roman;Times;Serif" w:hAnsi="Times New Roman;Times;Serif"/>
          <w:b/>
          <w:i w:val="false"/>
          <w:caps w:val="false"/>
          <w:smallCaps w:val="false"/>
          <w:sz w:val="36"/>
        </w:rPr>
        <w:t>8-K</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August 21, 2026</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6_edei--EntityRegistrantName_c2026"/>
      <w:bookmarkEnd w:id="4"/>
      <w:r>
        <w:rPr>
          <w:rFonts w:ascii="Times New Roman;Times;Serif" w:hAnsi="Times New Roman;Times;Serif"/>
          <w:b/>
          <w:i w:val="false"/>
          <w:caps w:val="false"/>
          <w:smallCaps w:val="false"/>
          <w:sz w:val="36"/>
        </w:rPr>
        <w:t>BioXcel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6465" w:type="dxa"/>
        <w:jc w:val="left"/>
        <w:tblInd w:w="0" w:type="dxa"/>
        <w:tblLayout w:type="fixed"/>
        <w:tblCellMar>
          <w:top w:w="0" w:type="dxa"/>
          <w:left w:w="0" w:type="dxa"/>
          <w:bottom w:w="0" w:type="dxa"/>
          <w:right w:w="0" w:type="dxa"/>
        </w:tblCellMar>
      </w:tblPr>
      <w:tblGrid>
        <w:gridCol w:w="2480"/>
        <w:gridCol w:w="60"/>
        <w:gridCol w:w="2300"/>
        <w:gridCol w:w="60"/>
        <w:gridCol w:w="1565"/>
      </w:tblGrid>
      <w:tr>
        <w:trPr/>
        <w:tc>
          <w:tcPr>
            <w:tcW w:w="2480" w:type="dxa"/>
            <w:tcBorders/>
            <w:vAlign w:val="center"/>
          </w:tcPr>
          <w:p>
            <w:pPr>
              <w:pStyle w:val="TableContents"/>
              <w:bidi w:val="0"/>
              <w:spacing w:before="0" w:after="283"/>
              <w:jc w:val="center"/>
              <w:rPr>
                <w:rFonts w:ascii="Times New Roman;Times;Serif" w:hAnsi="Times New Roman;Times;Serif"/>
                <w:b/>
                <w:sz w:val="20"/>
              </w:rPr>
            </w:pPr>
            <w:bookmarkStart w:id="5" w:name="xdx_90D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center"/>
              <w:rPr>
                <w:rFonts w:ascii="Times New Roman;Times;Serif" w:hAnsi="Times New Roman;Times;Serif"/>
                <w:b/>
                <w:sz w:val="20"/>
              </w:rPr>
            </w:pPr>
            <w:bookmarkStart w:id="6" w:name="xdx_903_edei--EntityFileNumber_c20260821"/>
            <w:bookmarkEnd w:id="6"/>
            <w:r>
              <w:rPr>
                <w:rFonts w:ascii="Times New Roman;Times;Serif" w:hAnsi="Times New Roman;Times;Serif"/>
                <w:b/>
                <w:sz w:val="20"/>
              </w:rPr>
              <w:t>001-38410</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bookmarkStart w:id="7" w:name="xdx_90C_edei--EntityTaxIdentificationNum"/>
            <w:bookmarkEnd w:id="7"/>
            <w:r>
              <w:rPr>
                <w:rFonts w:ascii="Times New Roman;Times;Serif" w:hAnsi="Times New Roman;Times;Serif"/>
                <w:b/>
                <w:sz w:val="20"/>
              </w:rPr>
              <w:t>82-1386754</w:t>
            </w:r>
          </w:p>
        </w:tc>
      </w:tr>
      <w:tr>
        <w:trPr/>
        <w:tc>
          <w:tcPr>
            <w:tcW w:w="248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 of</w:t>
              <w:br/>
              <w:t>incorporation)</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555 Long Wharf Drive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9" w:name="xdx_90C_edei--EntityAddressCityOrTown_c2"/>
      <w:bookmarkEnd w:id="9"/>
      <w:r>
        <w:rPr>
          <w:rFonts w:ascii="Times New Roman;Times;Serif" w:hAnsi="Times New Roman;Times;Serif"/>
          <w:b/>
          <w:i w:val="false"/>
          <w:caps w:val="false"/>
          <w:smallCaps w:val="false"/>
          <w:sz w:val="20"/>
        </w:rPr>
        <w:t xml:space="preserve">New Haven, </w:t>
      </w:r>
      <w:bookmarkStart w:id="10" w:name="xdx_90B_edei--EntityAddressStateOrProvin"/>
      <w:bookmarkEnd w:id="10"/>
      <w:r>
        <w:rPr>
          <w:rFonts w:ascii="Times New Roman;Times;Serif" w:hAnsi="Times New Roman;Times;Serif"/>
          <w:b/>
          <w:i w:val="false"/>
          <w:caps w:val="false"/>
          <w:smallCaps w:val="false"/>
          <w:sz w:val="20"/>
        </w:rPr>
        <w:t>CT</w:t>
      </w:r>
      <w:r>
        <w:rPr>
          <w:rFonts w:ascii="Times New Roman;Times;Serif" w:hAnsi="Times New Roman;Times;Serif"/>
          <w:b w:val="false"/>
          <w:i w:val="false"/>
          <w:caps w:val="false"/>
          <w:smallCaps w:val="false"/>
          <w:sz w:val="20"/>
        </w:rPr>
        <w:t xml:space="preserve"> </w:t>
      </w:r>
      <w:bookmarkStart w:id="11" w:name="xdx_90B_edei--EntityAddressPostalZipCode"/>
      <w:bookmarkEnd w:id="11"/>
      <w:r>
        <w:rPr>
          <w:rFonts w:ascii="Times New Roman;Times;Serif" w:hAnsi="Times New Roman;Times;Serif"/>
          <w:b/>
          <w:i w:val="false"/>
          <w:caps w:val="false"/>
          <w:smallCaps w:val="false"/>
          <w:sz w:val="20"/>
        </w:rPr>
        <w:t>06511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2" w:name="xdx_90F_edei--CityAreaCode_c20260821__20"/>
      <w:bookmarkEnd w:id="12"/>
      <w:r>
        <w:rPr>
          <w:rFonts w:ascii="Times New Roman;Times;Serif" w:hAnsi="Times New Roman;Times;Serif"/>
          <w:b/>
          <w:i w:val="false"/>
          <w:caps w:val="false"/>
          <w:smallCaps w:val="false"/>
          <w:sz w:val="20"/>
        </w:rPr>
        <w:t xml:space="preserve">475) </w:t>
      </w:r>
      <w:bookmarkStart w:id="13" w:name="xdx_902_edei--LocalPhoneNumber_c20260821"/>
      <w:bookmarkEnd w:id="13"/>
      <w:r>
        <w:rPr>
          <w:rFonts w:ascii="Times New Roman;Times;Serif" w:hAnsi="Times New Roman;Times;Serif"/>
          <w:b/>
          <w:i w:val="false"/>
          <w:caps w:val="false"/>
          <w:smallCaps w:val="false"/>
          <w:sz w:val="20"/>
        </w:rPr>
        <w:t>238-6837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(Registrant’s telephone number, including area code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4" w:name="xdx_905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5" w:name="xdx_900_edei--SolicitingMaterial_c202608"/>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6" w:name="xdx_906_edei--PreCommencementTenderOffer"/>
            <w:bookmarkEnd w:id="16"/>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3_edei--PreCommencementIssuerTende"/>
            <w:bookmarkEnd w:id="17"/>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325" w:type="dxa"/>
        <w:jc w:val="left"/>
        <w:tblInd w:w="0" w:type="dxa"/>
        <w:tblLayout w:type="fixed"/>
        <w:tblCellMar>
          <w:top w:w="0" w:type="dxa"/>
          <w:left w:w="0" w:type="dxa"/>
          <w:bottom w:w="28" w:type="dxa"/>
          <w:right w:w="0" w:type="dxa"/>
        </w:tblCellMar>
      </w:tblPr>
      <w:tblGrid>
        <w:gridCol w:w="2750"/>
        <w:gridCol w:w="60"/>
        <w:gridCol w:w="1610"/>
        <w:gridCol w:w="60"/>
        <w:gridCol w:w="3845"/>
      </w:tblGrid>
      <w:tr>
        <w:trPr/>
        <w:tc>
          <w:tcPr>
            <w:tcW w:w="27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845" w:type="dxa"/>
            <w:tcBorders>
              <w:bottom w:val="single" w:sz="8" w:space="0" w:color="000000"/>
            </w:tcBorders>
            <w:vAlign w:val="center"/>
          </w:tcPr>
          <w:p>
            <w:pPr>
              <w:pStyle w:val="TableContents"/>
              <w:bidi w:val="0"/>
              <w:spacing w:before="0" w:after="283"/>
              <w:jc w:val="center"/>
              <w:rPr/>
            </w:pPr>
            <w:r>
              <w:rPr>
                <w:rFonts w:ascii="Times New Roman;Times;Serif" w:hAnsi="Times New Roman;Times;Serif"/>
                <w:b/>
                <w:sz w:val="20"/>
              </w:rPr>
              <w:t>Name of each exchange on which </w:t>
            </w:r>
            <w:r>
              <w:rPr>
                <w:b/>
              </w:rPr>
              <w:t>registered</w:t>
            </w:r>
          </w:p>
        </w:tc>
      </w:tr>
      <w:tr>
        <w:trPr/>
        <w:tc>
          <w:tcPr>
            <w:tcW w:w="275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E_edei--Security12bTitle_c20260821"/>
            <w:bookmarkEnd w:id="18"/>
            <w:r>
              <w:rPr>
                <w:rFonts w:ascii="Times New Roman;Times;Serif" w:hAnsi="Times New Roman;Times;Serif"/>
                <w:sz w:val="20"/>
              </w:rPr>
              <w:t>Common Stock, par value $0.001</w:t>
            </w:r>
          </w:p>
        </w:tc>
        <w:tc>
          <w:tcPr>
            <w:tcW w:w="60" w:type="dxa"/>
            <w:tcBorders/>
            <w:tcMar>
              <w:bottom w:w="0" w:type="dxa"/>
            </w:tcMar>
            <w:vAlign w:val="center"/>
          </w:tcPr>
          <w:p>
            <w:pPr>
              <w:pStyle w:val="TableContents"/>
              <w:bidi w:val="0"/>
              <w:spacing w:before="0" w:after="283"/>
              <w:jc w:val="center"/>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F_edei--TradingSymbol_c20260821__2"/>
            <w:bookmarkEnd w:id="19"/>
            <w:r>
              <w:rPr>
                <w:rFonts w:ascii="Times New Roman;Times;Serif" w:hAnsi="Times New Roman;Times;Serif"/>
                <w:sz w:val="20"/>
              </w:rPr>
              <w:t>BTAI</w:t>
            </w:r>
          </w:p>
        </w:tc>
        <w:tc>
          <w:tcPr>
            <w:tcW w:w="60" w:type="dxa"/>
            <w:tcBorders/>
            <w:tcMar>
              <w:bottom w:w="0" w:type="dxa"/>
            </w:tcMar>
            <w:vAlign w:val="center"/>
          </w:tcPr>
          <w:p>
            <w:pPr>
              <w:pStyle w:val="TableContents"/>
              <w:bidi w:val="0"/>
              <w:spacing w:before="0" w:after="283"/>
              <w:jc w:val="center"/>
              <w:rPr/>
            </w:pPr>
            <w:r>
              <w:rPr/>
              <w:t> </w:t>
            </w:r>
          </w:p>
        </w:tc>
        <w:tc>
          <w:tcPr>
            <w:tcW w:w="3845" w:type="dxa"/>
            <w:tcBorders/>
            <w:tcMar>
              <w:bottom w:w="0" w:type="dxa"/>
            </w:tcMar>
            <w:vAlign w:val="center"/>
          </w:tcPr>
          <w:p>
            <w:pPr>
              <w:pStyle w:val="TableContents"/>
              <w:bidi w:val="0"/>
              <w:spacing w:before="0" w:after="283"/>
              <w:jc w:val="center"/>
              <w:rPr/>
            </w:pPr>
            <w:r>
              <w:rPr>
                <w:rFonts w:ascii="Times New Roman;Times;Serif" w:hAnsi="Times New Roman;Times;Serif"/>
                <w:sz w:val="20"/>
              </w:rPr>
              <w:t xml:space="preserve">The </w:t>
            </w:r>
            <w:bookmarkStart w:id="20" w:name="xdx_909_edei--SecurityExchangeName_c2026"/>
            <w:bookmarkEnd w:id="20"/>
            <w:r>
              <w:rPr>
                <w:rFonts w:ascii="Times New Roman;Times;Serif" w:hAnsi="Times New Roman;Times;Serif"/>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7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478" w:type="dxa"/>
        <w:jc w:val="left"/>
        <w:tblInd w:w="0" w:type="dxa"/>
        <w:tblLayout w:type="fixed"/>
        <w:tblCellMar>
          <w:top w:w="0" w:type="dxa"/>
          <w:left w:w="0" w:type="dxa"/>
          <w:bottom w:w="0" w:type="dxa"/>
          <w:right w:w="0" w:type="dxa"/>
        </w:tblCellMar>
      </w:tblPr>
      <w:tblGrid>
        <w:gridCol w:w="38"/>
        <w:gridCol w:w="965"/>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1.01</w:t>
            </w:r>
          </w:p>
        </w:tc>
        <w:tc>
          <w:tcPr>
            <w:tcW w:w="4475" w:type="dxa"/>
            <w:tcBorders/>
            <w:vAlign w:val="center"/>
          </w:tcPr>
          <w:p>
            <w:pPr>
              <w:pStyle w:val="TableContents"/>
              <w:bidi w:val="0"/>
              <w:spacing w:before="0" w:after="283"/>
              <w:jc w:val="left"/>
              <w:rPr>
                <w:b/>
              </w:rPr>
            </w:pPr>
            <w:r>
              <w:rPr>
                <w:b/>
              </w:rPr>
              <w:t>Entry into a Material Definitive Agreement.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21, 2026, BioXcel Therapeutics, Inc. (the “Company”) entered into the Thirteenth Amendment to Credit Agreement and Guaranty (the “Thirteenth Amendment”), which amended the Credit Agreement and Guaranty, dated April 19, 2022, as amended (the “Credit Agreement”), by and among the Company, as the borrower, certain subsidiaries of the Company from time to time party thereto as subsidiary guarantors, the lenders party thereto (the “Lenders”), and Oaktree Fund Administration LLC, as administrative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Thirteenth Amendment, the Company is required to, on or prior to August 28, 2026 (extended from August 21, 2026, as was required under the Twelfth Amendment), enter into definitive agreements with respect to one or more transactions acceptable to Lenders that (A) would result in the repayment of all loan and other obligations under the Credit Agreement or (B) is an alternative capital solutions transaction on terms and conditions acceptable to the Lenders.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Thirteenth Amendment is qualified in its entirety by the complete text of such agreement, a copy of which is filed hereto as Exhibits 10.1.</w:t>
      </w:r>
    </w:p>
    <w:p>
      <w:pPr>
        <w:pStyle w:val="TextBody"/>
        <w:bidi w:val="0"/>
        <w:spacing w:before="0" w:after="0"/>
        <w:ind w:left="0" w:right="0" w:firstLine="720"/>
        <w:jc w:val="left"/>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96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2028" w:type="dxa"/>
        <w:jc w:val="left"/>
        <w:tblInd w:w="0" w:type="dxa"/>
        <w:tblLayout w:type="fixed"/>
        <w:tblCellMar>
          <w:top w:w="0" w:type="dxa"/>
          <w:left w:w="0" w:type="dxa"/>
          <w:bottom w:w="0" w:type="dxa"/>
          <w:right w:w="0" w:type="dxa"/>
        </w:tblCellMar>
      </w:tblPr>
      <w:tblGrid>
        <w:gridCol w:w="38"/>
        <w:gridCol w:w="785"/>
        <w:gridCol w:w="1205"/>
      </w:tblGrid>
      <w:tr>
        <w:trPr/>
        <w:tc>
          <w:tcPr>
            <w:tcW w:w="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b/>
              </w:rPr>
            </w:pPr>
            <w:r>
              <w:rPr>
                <w:b/>
              </w:rPr>
              <w:t>Ex. No.</w:t>
            </w:r>
          </w:p>
        </w:tc>
        <w:tc>
          <w:tcPr>
            <w:tcW w:w="1205" w:type="dxa"/>
            <w:tcBorders/>
            <w:vAlign w:val="center"/>
          </w:tcPr>
          <w:p>
            <w:pPr>
              <w:pStyle w:val="TableContents"/>
              <w:bidi w:val="0"/>
              <w:spacing w:before="0" w:after="283"/>
              <w:jc w:val="both"/>
              <w:rPr>
                <w:b/>
              </w:rPr>
            </w:pPr>
            <w:r>
              <w:rPr>
                <w:b/>
              </w:rPr>
              <w:t>Description</w:t>
            </w:r>
          </w:p>
        </w:tc>
      </w:tr>
    </w:tbl>
    <w:p>
      <w:pPr>
        <w:pStyle w:val="TextBody"/>
        <w:bidi w:val="0"/>
        <w:spacing w:before="0" w:after="0"/>
        <w:ind w:left="0" w:right="0" w:firstLine="720"/>
        <w:jc w:val="left"/>
        <w:rPr>
          <w:caps w:val="false"/>
          <w:smallCaps w:val="false"/>
        </w:rPr>
      </w:pPr>
      <w:r>
        <w:rPr>
          <w:caps w:val="false"/>
          <w:smallCaps w:val="false"/>
        </w:rPr>
        <w:t> </w:t>
      </w:r>
    </w:p>
    <w:tbl>
      <w:tblPr>
        <w:tblW w:w="9168" w:type="dxa"/>
        <w:jc w:val="left"/>
        <w:tblInd w:w="0" w:type="dxa"/>
        <w:tblLayout w:type="fixed"/>
        <w:tblCellMar>
          <w:top w:w="0" w:type="dxa"/>
          <w:left w:w="0" w:type="dxa"/>
          <w:bottom w:w="0" w:type="dxa"/>
          <w:right w:w="0" w:type="dxa"/>
        </w:tblCellMar>
      </w:tblPr>
      <w:tblGrid>
        <w:gridCol w:w="38"/>
        <w:gridCol w:w="440"/>
        <w:gridCol w:w="8690"/>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hyperlink w:anchor="tm2623861d1_ex10-1.htm">
              <w:r>
                <w:rPr>
                  <w:rStyle w:val="InternetLink"/>
                </w:rPr>
                <w:t>10.1</w:t>
              </w:r>
            </w:hyperlink>
          </w:p>
        </w:tc>
        <w:tc>
          <w:tcPr>
            <w:tcW w:w="8690" w:type="dxa"/>
            <w:tcBorders/>
            <w:vAlign w:val="center"/>
          </w:tcPr>
          <w:p>
            <w:pPr>
              <w:pStyle w:val="TableContents"/>
              <w:bidi w:val="0"/>
              <w:spacing w:before="0" w:after="283"/>
              <w:jc w:val="left"/>
              <w:rPr/>
            </w:pPr>
            <w:hyperlink w:anchor="tm2623861d1_ex10-1.htm">
              <w:r>
                <w:rPr>
                  <w:rStyle w:val="InternetLink"/>
                </w:rPr>
                <w:t>Form of Thirteenth Amendment to Credit Agreement and Guaranty, dated August 21, 2026</w:t>
              </w:r>
            </w:hyperlink>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104</w:t>
            </w:r>
          </w:p>
        </w:tc>
        <w:tc>
          <w:tcPr>
            <w:tcW w:w="9787" w:type="dxa"/>
            <w:tcBorders/>
            <w:vAlign w:val="center"/>
          </w:tcPr>
          <w:p>
            <w:pPr>
              <w:pStyle w:val="TableContents"/>
              <w:bidi w:val="0"/>
              <w:spacing w:before="0" w:after="283"/>
              <w:jc w:val="left"/>
              <w:rPr/>
            </w:pPr>
            <w:r>
              <w:rPr/>
              <w:t>Cover Page Interactive Data File - the cover page XBRL tags are embedded within the Inline XBRL document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854" w:type="dxa"/>
        <w:jc w:val="left"/>
        <w:tblInd w:w="0" w:type="dxa"/>
        <w:tblLayout w:type="fixed"/>
        <w:tblCellMar>
          <w:top w:w="0" w:type="dxa"/>
          <w:left w:w="0" w:type="dxa"/>
          <w:bottom w:w="0" w:type="dxa"/>
          <w:right w:w="0" w:type="dxa"/>
        </w:tblCellMar>
      </w:tblPr>
      <w:tblGrid>
        <w:gridCol w:w="1865"/>
        <w:gridCol w:w="594"/>
        <w:gridCol w:w="2395"/>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24, 2026</w:t>
            </w:r>
          </w:p>
        </w:tc>
        <w:tc>
          <w:tcPr>
            <w:tcW w:w="298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BIOXCEL THERAPEUTICS, INC.</w:t>
            </w:r>
          </w:p>
        </w:tc>
      </w:tr>
      <w:tr>
        <w:trPr/>
        <w:tc>
          <w:tcPr>
            <w:tcW w:w="1865" w:type="dxa"/>
            <w:tcBorders/>
            <w:vAlign w:val="center"/>
          </w:tcPr>
          <w:p>
            <w:pPr>
              <w:pStyle w:val="TableContents"/>
              <w:bidi w:val="0"/>
              <w:spacing w:before="0" w:after="283"/>
              <w:ind w:left="0" w:right="0" w:hanging="281"/>
              <w:jc w:val="left"/>
              <w:rPr/>
            </w:pPr>
            <w:r>
              <w:rPr/>
              <w:t> </w:t>
            </w:r>
          </w:p>
        </w:tc>
        <w:tc>
          <w:tcPr>
            <w:tcW w:w="594" w:type="dxa"/>
            <w:tcBorders/>
            <w:vAlign w:val="center"/>
          </w:tcPr>
          <w:p>
            <w:pPr>
              <w:pStyle w:val="TableContents"/>
              <w:bidi w:val="0"/>
              <w:spacing w:before="0" w:after="283"/>
              <w:jc w:val="left"/>
              <w:rPr/>
            </w:pPr>
            <w:r>
              <w:rPr/>
              <w:t> </w:t>
            </w:r>
          </w:p>
        </w:tc>
        <w:tc>
          <w:tcPr>
            <w:tcW w:w="239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pPr>
            <w:r>
              <w:rPr/>
              <w:t> </w:t>
            </w:r>
          </w:p>
        </w:tc>
        <w:tc>
          <w:tcPr>
            <w:tcW w:w="23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Richard Steinhart</w:t>
            </w:r>
          </w:p>
        </w:tc>
      </w:tr>
      <w:tr>
        <w:trPr/>
        <w:tc>
          <w:tcPr>
            <w:tcW w:w="1865"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Richard Steinhart</w:t>
            </w:r>
          </w:p>
        </w:tc>
      </w:tr>
      <w:tr>
        <w:trPr/>
        <w:tc>
          <w:tcPr>
            <w:tcW w:w="1865"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2" w:name="tm2623861d1_ex10-1.htm"/>
      <w:bookmarkStart w:id="23" w:name="kstm2623861d1_ex101"/>
      <w:bookmarkEnd w:id="22"/>
      <w:bookmarkEnd w:id="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that certain Credit Agreement and Guaranty, dated as of April 19, 2022, by and among BioXcel Therapeutics, Inc., the lenders party thereto and Oaktree Fund Administration, LLC, as administrative agent, as amended, restated, supplemented or otherwise modified from time to time (the “Credit Agreement”). Capitalized terms used in this email and not otherwise defined herein shall have the meanings assigned to such terms in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Lenders hereby agree to amend and restate Section 4(a) of the Eleventh Amendment in its entirety as set forth below, effective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Transaction Milestone</w:t>
      </w:r>
      <w:r>
        <w:rPr>
          <w:rFonts w:ascii="Times New Roman;Times;Serif" w:hAnsi="Times New Roman;Times;Serif"/>
          <w:b w:val="false"/>
          <w:i w:val="false"/>
          <w:caps w:val="false"/>
          <w:smallCaps w:val="false"/>
          <w:sz w:val="20"/>
        </w:rPr>
        <w:t>. On or prior to August 28, 2026, the Obligors shall have entered into definitive agreements with respect to one or more transactions, in form and substance acceptable to the Majority Lenders in their sole discretion, that (A) would result in the indefeasible payment in full in cash of all Obligations under the Loan Documents or (B) is an alternative capital solutions transaction on terms and conditions acceptable to the Majority Lenders in all respects, in their sole and absolute discretion, including, in each case, with respect to the certainty and timing of closing and the likelihood of obtaining any required shareholder, regulatory, court or other approvals, as applicable (any such transaction, an “Acceptable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Lenders hereby agree to amend and restate Section 4(c) of the Eleventh Amendment in its entirety as set forth below, effective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Continued Cooperation</w:t>
      </w:r>
      <w:r>
        <w:rPr>
          <w:rFonts w:ascii="Times New Roman;Times;Serif" w:hAnsi="Times New Roman;Times;Serif"/>
          <w:b w:val="false"/>
          <w:i w:val="false"/>
          <w:caps w:val="false"/>
          <w:smallCaps w:val="false"/>
          <w:sz w:val="20"/>
        </w:rPr>
        <w:t>. Through and including August 28, 2026, the Obligors shall consider in good faith any reasonable comments by the Lenders or any counterparty to a potential transaction contemplated by Section 4(a), in each case with respect to any regulatory process involving material assets of the Obligors.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expressly set forth above, (i) all provisions of the Credit Agreement and the other Loan Documents remain in full force and effect and (ii) the effectiveness of the amendment described above shall not operate as a waiver of any right, power or remedy of the Administrative Agent or the Lenders, nor constitute a waiver of any provision of the Credit Agreement or any of the Loan Documents.  The agreement to amend the Credit Agreement as set forth above shall not be deemed to limit or hinder any rights of the Administrative Agent or the Lenders under the Loan Documents, nor shall it be deemed to create or infer a course of dealing between any such party, on the one hand, and the Borrower, on the other hand, with regard to any provision of the Loan Documents.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1012</Words>
  <Characters>5419</Characters>
  <CharactersWithSpaces>6439</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