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12" w:lineRule="exact"/>
        <w:rPr>
          <w:sz w:val="24"/>
          <w:szCs w:val="24"/>
          <w:color w:val="auto"/>
        </w:rPr>
      </w:pPr>
    </w:p>
    <w:p>
      <w:pPr>
        <w:ind w:left="60"/>
        <w:spacing w:after="0"/>
        <w:rPr>
          <w:sz w:val="20"/>
          <w:szCs w:val="20"/>
          <w:color w:val="auto"/>
        </w:rPr>
      </w:pPr>
      <w:r>
        <w:rPr>
          <w:rFonts w:ascii="Arial" w:cs="Arial" w:eastAsia="Arial" w:hAnsi="Arial"/>
          <w:sz w:val="11"/>
          <w:szCs w:val="11"/>
          <w:b w:val="1"/>
          <w:bCs w:val="1"/>
          <w:color w:val="auto"/>
        </w:rPr>
        <w:t>(Mark one)</w:t>
      </w:r>
    </w:p>
    <w:p>
      <w:pPr>
        <w:spacing w:after="0" w:line="2" w:lineRule="exact"/>
        <w:rPr>
          <w:sz w:val="24"/>
          <w:szCs w:val="24"/>
          <w:color w:val="auto"/>
        </w:rPr>
      </w:pPr>
    </w:p>
    <w:p>
      <w:pPr>
        <w:jc w:val="right"/>
        <w:ind w:left="3320" w:right="3339" w:hanging="3170"/>
        <w:spacing w:after="0" w:line="281" w:lineRule="auto"/>
        <w:tabs>
          <w:tab w:leader="none" w:pos="375"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year ended December 31, 2021</w:t>
      </w:r>
    </w:p>
    <w:p>
      <w:pPr>
        <w:jc w:val="center"/>
        <w:ind w:right="19"/>
        <w:spacing w:after="0" w:line="222" w:lineRule="auto"/>
        <w:rPr>
          <w:sz w:val="20"/>
          <w:szCs w:val="20"/>
          <w:color w:val="auto"/>
        </w:rPr>
      </w:pPr>
      <w:r>
        <w:rPr>
          <w:rFonts w:ascii="Arial" w:cs="Arial" w:eastAsia="Arial" w:hAnsi="Arial"/>
          <w:sz w:val="14"/>
          <w:szCs w:val="14"/>
          <w:b w:val="1"/>
          <w:bCs w:val="1"/>
          <w:color w:val="auto"/>
        </w:rPr>
        <w:t>or</w:t>
      </w:r>
    </w:p>
    <w:p>
      <w:pPr>
        <w:ind w:left="380" w:hanging="230"/>
        <w:spacing w:after="0"/>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9019"/>
          </w:cols>
          <w:pgMar w:left="1440" w:top="665" w:right="1440" w:bottom="1440" w:gutter="0" w:footer="0" w:header="0"/>
        </w:sectPr>
      </w:pPr>
    </w:p>
    <w:p>
      <w:pPr>
        <w:spacing w:after="0" w:line="24" w:lineRule="exact"/>
        <w:rPr>
          <w:sz w:val="24"/>
          <w:szCs w:val="24"/>
          <w:color w:val="auto"/>
        </w:rPr>
      </w:pPr>
    </w:p>
    <w:p>
      <w:pPr>
        <w:ind w:left="3020"/>
        <w:spacing w:after="0"/>
        <w:tabs>
          <w:tab w:leader="none" w:pos="53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3" w:lineRule="exact"/>
        <w:rPr>
          <w:sz w:val="24"/>
          <w:szCs w:val="24"/>
          <w:color w:val="auto"/>
        </w:rPr>
      </w:pPr>
    </w:p>
    <w:p>
      <w:pPr>
        <w:sectPr>
          <w:pgSz w:w="11900" w:h="16838" w:orient="portrait"/>
          <w:cols w:equalWidth="0" w:num="2">
            <w:col w:w="5500" w:space="460"/>
            <w:col w:w="305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Commission file number 001-38410</w:t>
      </w:r>
    </w:p>
    <w:p>
      <w:pPr>
        <w:sectPr>
          <w:pgSz w:w="11900" w:h="16838" w:orient="portrait"/>
          <w:cols w:equalWidth="0" w:num="1">
            <w:col w:w="9019"/>
          </w:cols>
          <w:pgMar w:left="1440" w:top="665" w:right="1440" w:bottom="144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BioXcel Therapeutics,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2" w:lineRule="exact"/>
        <w:rPr>
          <w:sz w:val="24"/>
          <w:szCs w:val="24"/>
          <w:color w:val="auto"/>
        </w:rPr>
      </w:pPr>
    </w:p>
    <w:tbl>
      <w:tblPr>
        <w:tblLayout w:type="fixed"/>
        <w:tblInd w:w="1340" w:type="dxa"/>
        <w:tblCellMar>
          <w:top w:w="0" w:type="dxa"/>
          <w:left w:w="0" w:type="dxa"/>
          <w:bottom w:w="0" w:type="dxa"/>
          <w:right w:w="0" w:type="dxa"/>
        </w:tblCellMar>
      </w:tblPr>
      <w:tr>
        <w:trPr>
          <w:trHeight w:val="149"/>
        </w:trPr>
        <w:tc>
          <w:tcPr>
            <w:tcW w:w="3460" w:type="dxa"/>
            <w:vAlign w:val="bottom"/>
          </w:tcPr>
          <w:p>
            <w:pPr>
              <w:jc w:val="center"/>
              <w:ind w:right="1517"/>
              <w:spacing w:after="0"/>
              <w:rPr>
                <w:sz w:val="20"/>
                <w:szCs w:val="20"/>
                <w:color w:val="auto"/>
              </w:rPr>
            </w:pPr>
            <w:r>
              <w:rPr>
                <w:rFonts w:ascii="Arial" w:cs="Arial" w:eastAsia="Arial" w:hAnsi="Arial"/>
                <w:sz w:val="13"/>
                <w:szCs w:val="13"/>
                <w:b w:val="1"/>
                <w:bCs w:val="1"/>
                <w:color w:val="auto"/>
                <w:w w:val="91"/>
              </w:rPr>
              <w:t>Delaware</w:t>
            </w:r>
          </w:p>
        </w:tc>
        <w:tc>
          <w:tcPr>
            <w:tcW w:w="2400" w:type="dxa"/>
            <w:vAlign w:val="bottom"/>
          </w:tcPr>
          <w:p>
            <w:pPr>
              <w:jc w:val="right"/>
              <w:ind w:right="97"/>
              <w:spacing w:after="0"/>
              <w:rPr>
                <w:sz w:val="20"/>
                <w:szCs w:val="20"/>
                <w:color w:val="auto"/>
              </w:rPr>
            </w:pPr>
            <w:r>
              <w:rPr>
                <w:rFonts w:ascii="Arial" w:cs="Arial" w:eastAsia="Arial" w:hAnsi="Arial"/>
                <w:sz w:val="13"/>
                <w:szCs w:val="13"/>
                <w:b w:val="1"/>
                <w:bCs w:val="1"/>
                <w:color w:val="auto"/>
              </w:rPr>
              <w:t>82-1386754</w:t>
            </w:r>
          </w:p>
        </w:tc>
      </w:tr>
      <w:tr>
        <w:trPr>
          <w:trHeight w:val="135"/>
        </w:trPr>
        <w:tc>
          <w:tcPr>
            <w:tcW w:w="3460" w:type="dxa"/>
            <w:vAlign w:val="bottom"/>
          </w:tcPr>
          <w:p>
            <w:pPr>
              <w:jc w:val="center"/>
              <w:ind w:right="1377"/>
              <w:spacing w:after="0" w:line="135" w:lineRule="exact"/>
              <w:rPr>
                <w:sz w:val="20"/>
                <w:szCs w:val="20"/>
                <w:color w:val="auto"/>
              </w:rPr>
            </w:pPr>
            <w:r>
              <w:rPr>
                <w:rFonts w:ascii="Arial" w:cs="Arial" w:eastAsia="Arial" w:hAnsi="Arial"/>
                <w:sz w:val="13"/>
                <w:szCs w:val="13"/>
                <w:color w:val="auto"/>
                <w:w w:val="89"/>
              </w:rPr>
              <w:t>(State or other jurisdiction of</w:t>
            </w:r>
          </w:p>
        </w:tc>
        <w:tc>
          <w:tcPr>
            <w:tcW w:w="2400" w:type="dxa"/>
            <w:vAlign w:val="bottom"/>
          </w:tcPr>
          <w:p>
            <w:pPr>
              <w:jc w:val="center"/>
              <w:ind w:left="1397"/>
              <w:spacing w:after="0" w:line="135" w:lineRule="exact"/>
              <w:rPr>
                <w:sz w:val="20"/>
                <w:szCs w:val="20"/>
                <w:color w:val="auto"/>
              </w:rPr>
            </w:pPr>
            <w:r>
              <w:rPr>
                <w:rFonts w:ascii="Arial" w:cs="Arial" w:eastAsia="Arial" w:hAnsi="Arial"/>
                <w:sz w:val="13"/>
                <w:szCs w:val="13"/>
                <w:color w:val="auto"/>
                <w:w w:val="90"/>
              </w:rPr>
              <w:t>(I.R.S. Employer</w:t>
            </w:r>
          </w:p>
        </w:tc>
      </w:tr>
      <w:tr>
        <w:trPr>
          <w:trHeight w:val="131"/>
        </w:trPr>
        <w:tc>
          <w:tcPr>
            <w:tcW w:w="3460" w:type="dxa"/>
            <w:vAlign w:val="bottom"/>
          </w:tcPr>
          <w:p>
            <w:pPr>
              <w:jc w:val="center"/>
              <w:ind w:right="1377"/>
              <w:spacing w:after="0" w:line="131" w:lineRule="exact"/>
              <w:rPr>
                <w:sz w:val="20"/>
                <w:szCs w:val="20"/>
                <w:color w:val="auto"/>
              </w:rPr>
            </w:pPr>
            <w:r>
              <w:rPr>
                <w:rFonts w:ascii="Arial" w:cs="Arial" w:eastAsia="Arial" w:hAnsi="Arial"/>
                <w:sz w:val="13"/>
                <w:szCs w:val="13"/>
                <w:color w:val="auto"/>
                <w:w w:val="88"/>
              </w:rPr>
              <w:t>incorporation or organization)</w:t>
            </w:r>
          </w:p>
        </w:tc>
        <w:tc>
          <w:tcPr>
            <w:tcW w:w="2400" w:type="dxa"/>
            <w:vAlign w:val="bottom"/>
          </w:tcPr>
          <w:p>
            <w:pPr>
              <w:jc w:val="center"/>
              <w:ind w:left="1397"/>
              <w:spacing w:after="0" w:line="131" w:lineRule="exact"/>
              <w:rPr>
                <w:sz w:val="20"/>
                <w:szCs w:val="20"/>
                <w:color w:val="auto"/>
              </w:rPr>
            </w:pPr>
            <w:r>
              <w:rPr>
                <w:rFonts w:ascii="Arial" w:cs="Arial" w:eastAsia="Arial" w:hAnsi="Arial"/>
                <w:sz w:val="13"/>
                <w:szCs w:val="13"/>
                <w:color w:val="auto"/>
                <w:w w:val="92"/>
              </w:rPr>
              <w:t>Identification No.)</w:t>
            </w:r>
          </w:p>
        </w:tc>
      </w:tr>
      <w:tr>
        <w:trPr>
          <w:trHeight w:val="135"/>
        </w:trPr>
        <w:tc>
          <w:tcPr>
            <w:tcW w:w="3460" w:type="dxa"/>
            <w:vAlign w:val="bottom"/>
          </w:tcPr>
          <w:p>
            <w:pPr>
              <w:jc w:val="center"/>
              <w:ind w:right="1497"/>
              <w:spacing w:after="0" w:line="135" w:lineRule="exact"/>
              <w:rPr>
                <w:sz w:val="20"/>
                <w:szCs w:val="20"/>
                <w:color w:val="auto"/>
              </w:rPr>
            </w:pPr>
            <w:r>
              <w:rPr>
                <w:rFonts w:ascii="Arial" w:cs="Arial" w:eastAsia="Arial" w:hAnsi="Arial"/>
                <w:sz w:val="13"/>
                <w:szCs w:val="13"/>
                <w:b w:val="1"/>
                <w:bCs w:val="1"/>
                <w:color w:val="auto"/>
                <w:w w:val="91"/>
              </w:rPr>
              <w:t>555 Long Wharf Drive</w:t>
            </w:r>
          </w:p>
        </w:tc>
        <w:tc>
          <w:tcPr>
            <w:tcW w:w="24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06511</w:t>
            </w:r>
          </w:p>
        </w:tc>
      </w:tr>
      <w:tr>
        <w:trPr>
          <w:trHeight w:val="139"/>
        </w:trPr>
        <w:tc>
          <w:tcPr>
            <w:tcW w:w="3460" w:type="dxa"/>
            <w:vAlign w:val="bottom"/>
          </w:tcPr>
          <w:p>
            <w:pPr>
              <w:jc w:val="center"/>
              <w:ind w:right="1497"/>
              <w:spacing w:after="0" w:line="139" w:lineRule="exact"/>
              <w:rPr>
                <w:sz w:val="20"/>
                <w:szCs w:val="20"/>
                <w:color w:val="auto"/>
              </w:rPr>
            </w:pPr>
            <w:r>
              <w:rPr>
                <w:rFonts w:ascii="Arial" w:cs="Arial" w:eastAsia="Arial" w:hAnsi="Arial"/>
                <w:sz w:val="13"/>
                <w:szCs w:val="13"/>
                <w:b w:val="1"/>
                <w:bCs w:val="1"/>
                <w:color w:val="auto"/>
                <w:w w:val="90"/>
              </w:rPr>
              <w:t>New Haven CT</w:t>
            </w:r>
          </w:p>
        </w:tc>
        <w:tc>
          <w:tcPr>
            <w:tcW w:w="2400" w:type="dxa"/>
            <w:vAlign w:val="bottom"/>
          </w:tcPr>
          <w:p>
            <w:pPr>
              <w:jc w:val="center"/>
              <w:ind w:left="1397"/>
              <w:spacing w:after="0" w:line="139" w:lineRule="exact"/>
              <w:rPr>
                <w:sz w:val="20"/>
                <w:szCs w:val="20"/>
                <w:color w:val="auto"/>
              </w:rPr>
            </w:pPr>
            <w:r>
              <w:rPr>
                <w:rFonts w:ascii="Arial" w:cs="Arial" w:eastAsia="Arial" w:hAnsi="Arial"/>
                <w:sz w:val="13"/>
                <w:szCs w:val="13"/>
                <w:color w:val="auto"/>
                <w:w w:val="87"/>
              </w:rPr>
              <w:t>(Zip Code)</w:t>
            </w:r>
          </w:p>
        </w:tc>
      </w:tr>
      <w:tr>
        <w:trPr>
          <w:trHeight w:val="160"/>
        </w:trPr>
        <w:tc>
          <w:tcPr>
            <w:tcW w:w="3460" w:type="dxa"/>
            <w:vAlign w:val="bottom"/>
          </w:tcPr>
          <w:p>
            <w:pPr>
              <w:jc w:val="center"/>
              <w:ind w:right="1397"/>
              <w:spacing w:after="0"/>
              <w:rPr>
                <w:sz w:val="20"/>
                <w:szCs w:val="20"/>
                <w:color w:val="auto"/>
              </w:rPr>
            </w:pPr>
            <w:r>
              <w:rPr>
                <w:rFonts w:ascii="Arial" w:cs="Arial" w:eastAsia="Arial" w:hAnsi="Arial"/>
                <w:sz w:val="13"/>
                <w:szCs w:val="13"/>
                <w:color w:val="auto"/>
                <w:w w:val="89"/>
              </w:rPr>
              <w:t>(Address of principal executive offices)</w:t>
            </w:r>
          </w:p>
        </w:tc>
        <w:tc>
          <w:tcPr>
            <w:tcW w:w="2400" w:type="dxa"/>
            <w:vAlign w:val="bottom"/>
          </w:tcPr>
          <w:p>
            <w:pPr>
              <w:spacing w:after="0"/>
              <w:rPr>
                <w:sz w:val="13"/>
                <w:szCs w:val="13"/>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(475) 238-6837</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6" w:lineRule="exact"/>
        <w:rPr>
          <w:sz w:val="24"/>
          <w:szCs w:val="24"/>
          <w:color w:val="auto"/>
        </w:rPr>
      </w:pPr>
    </w:p>
    <w:tbl>
      <w:tblPr>
        <w:tblLayout w:type="fixed"/>
        <w:tblInd w:w="920" w:type="dxa"/>
        <w:tblCellMar>
          <w:top w:w="0" w:type="dxa"/>
          <w:left w:w="0" w:type="dxa"/>
          <w:bottom w:w="0" w:type="dxa"/>
          <w:right w:w="0" w:type="dxa"/>
        </w:tblCellMar>
      </w:tblPr>
      <w:tr>
        <w:trPr>
          <w:trHeight w:val="149"/>
        </w:trPr>
        <w:tc>
          <w:tcPr>
            <w:tcW w:w="2760" w:type="dxa"/>
            <w:vAlign w:val="bottom"/>
            <w:gridSpan w:val="3"/>
          </w:tcPr>
          <w:p>
            <w:pPr>
              <w:jc w:val="center"/>
              <w:ind w:right="460"/>
              <w:spacing w:after="0"/>
              <w:rPr>
                <w:sz w:val="20"/>
                <w:szCs w:val="20"/>
                <w:color w:val="auto"/>
              </w:rPr>
            </w:pPr>
            <w:r>
              <w:rPr>
                <w:rFonts w:ascii="Arial" w:cs="Arial" w:eastAsia="Arial" w:hAnsi="Arial"/>
                <w:sz w:val="13"/>
                <w:szCs w:val="13"/>
                <w:color w:val="auto"/>
                <w:w w:val="86"/>
              </w:rPr>
              <w:t>Title of each class</w:t>
            </w:r>
          </w:p>
        </w:tc>
        <w:tc>
          <w:tcPr>
            <w:tcW w:w="2360" w:type="dxa"/>
            <w:vAlign w:val="bottom"/>
          </w:tcPr>
          <w:p>
            <w:pPr>
              <w:jc w:val="center"/>
              <w:ind w:right="497"/>
              <w:spacing w:after="0"/>
              <w:rPr>
                <w:sz w:val="20"/>
                <w:szCs w:val="20"/>
                <w:color w:val="auto"/>
              </w:rPr>
            </w:pPr>
            <w:r>
              <w:rPr>
                <w:rFonts w:ascii="Arial" w:cs="Arial" w:eastAsia="Arial" w:hAnsi="Arial"/>
                <w:sz w:val="13"/>
                <w:szCs w:val="13"/>
                <w:color w:val="auto"/>
                <w:w w:val="90"/>
              </w:rPr>
              <w:t>Trading Symbol(s)</w:t>
            </w:r>
          </w:p>
        </w:tc>
        <w:tc>
          <w:tcPr>
            <w:tcW w:w="1960" w:type="dxa"/>
            <w:vAlign w:val="bottom"/>
          </w:tcPr>
          <w:p>
            <w:pPr>
              <w:spacing w:after="0"/>
              <w:rPr>
                <w:sz w:val="20"/>
                <w:szCs w:val="20"/>
                <w:color w:val="auto"/>
              </w:rPr>
            </w:pPr>
            <w:r>
              <w:rPr>
                <w:rFonts w:ascii="Arial" w:cs="Arial" w:eastAsia="Arial" w:hAnsi="Arial"/>
                <w:sz w:val="13"/>
                <w:szCs w:val="13"/>
                <w:color w:val="auto"/>
                <w:w w:val="86"/>
              </w:rPr>
              <w:t>Name of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vMerge w:val="restart"/>
          </w:tcPr>
          <w:p>
            <w:pPr>
              <w:jc w:val="center"/>
              <w:ind w:right="477"/>
              <w:spacing w:after="0"/>
              <w:rPr>
                <w:sz w:val="20"/>
                <w:szCs w:val="20"/>
                <w:color w:val="auto"/>
              </w:rPr>
            </w:pPr>
            <w:r>
              <w:rPr>
                <w:rFonts w:ascii="Arial" w:cs="Arial" w:eastAsia="Arial" w:hAnsi="Arial"/>
                <w:sz w:val="13"/>
                <w:szCs w:val="13"/>
                <w:b w:val="1"/>
                <w:bCs w:val="1"/>
                <w:color w:val="auto"/>
                <w:w w:val="98"/>
              </w:rPr>
              <w:t>BTAI</w:t>
            </w: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760" w:type="dxa"/>
            <w:vAlign w:val="bottom"/>
            <w:gridSpan w:val="3"/>
            <w:vMerge w:val="restart"/>
          </w:tcPr>
          <w:p>
            <w:pPr>
              <w:jc w:val="center"/>
              <w:ind w:right="440"/>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2360" w:type="dxa"/>
            <w:vAlign w:val="bottom"/>
            <w:vMerge w:val="continue"/>
          </w:tcPr>
          <w:p>
            <w:pPr>
              <w:spacing w:after="0"/>
              <w:rPr>
                <w:sz w:val="12"/>
                <w:szCs w:val="12"/>
                <w:color w:val="auto"/>
              </w:rPr>
            </w:pPr>
          </w:p>
        </w:tc>
        <w:tc>
          <w:tcPr>
            <w:tcW w:w="196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Nasdaq Capital Market</w:t>
            </w:r>
          </w:p>
        </w:tc>
        <w:tc>
          <w:tcPr>
            <w:tcW w:w="0" w:type="dxa"/>
            <w:vAlign w:val="bottom"/>
          </w:tcPr>
          <w:p>
            <w:pPr>
              <w:spacing w:after="0"/>
              <w:rPr>
                <w:sz w:val="1"/>
                <w:szCs w:val="1"/>
                <w:color w:val="auto"/>
              </w:rPr>
            </w:pPr>
          </w:p>
        </w:tc>
      </w:tr>
      <w:tr>
        <w:trPr>
          <w:trHeight w:val="76"/>
        </w:trPr>
        <w:tc>
          <w:tcPr>
            <w:tcW w:w="2760" w:type="dxa"/>
            <w:vAlign w:val="bottom"/>
            <w:gridSpan w:val="3"/>
            <w:vMerge w:val="continue"/>
          </w:tcPr>
          <w:p>
            <w:pPr>
              <w:spacing w:after="0"/>
              <w:rPr>
                <w:sz w:val="6"/>
                <w:szCs w:val="6"/>
                <w:color w:val="auto"/>
              </w:rPr>
            </w:pPr>
          </w:p>
        </w:tc>
        <w:tc>
          <w:tcPr>
            <w:tcW w:w="236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59" w:lineRule="exact"/>
        <w:rPr>
          <w:sz w:val="24"/>
          <w:szCs w:val="24"/>
          <w:color w:val="auto"/>
        </w:rPr>
      </w:pPr>
    </w:p>
    <w:p>
      <w:pPr>
        <w:jc w:val="center"/>
        <w:ind w:right="39"/>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70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left="60" w:right="259"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60" w:right="339" w:firstLine="64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left="60" w:right="59"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54" w:lineRule="exact"/>
        <w:rPr>
          <w:sz w:val="24"/>
          <w:szCs w:val="24"/>
          <w:color w:val="auto"/>
        </w:rPr>
      </w:pPr>
    </w:p>
    <w:p>
      <w:pPr>
        <w:ind w:left="6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both"/>
        <w:ind w:right="59" w:hanging="1"/>
        <w:spacing w:after="0" w:line="174"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 </w:t>
      </w:r>
      <w:r>
        <w:rPr>
          <w:rFonts w:ascii="MS PGothic" w:cs="MS PGothic" w:eastAsia="MS PGothic" w:hAnsi="MS PGothic"/>
          <w:sz w:val="10"/>
          <w:szCs w:val="10"/>
          <w:color w:val="auto"/>
        </w:rPr>
        <w:t>☒</w:t>
      </w:r>
    </w:p>
    <w:p>
      <w:pPr>
        <w:spacing w:after="0" w:line="38" w:lineRule="exact"/>
        <w:rPr>
          <w:sz w:val="24"/>
          <w:szCs w:val="24"/>
          <w:color w:val="auto"/>
        </w:rPr>
      </w:pPr>
    </w:p>
    <w:p>
      <w:pPr>
        <w:sectPr>
          <w:pgSz w:w="11900" w:h="16838" w:orient="portrait"/>
          <w:cols w:equalWidth="0" w:num="4">
            <w:col w:w="2120" w:space="720"/>
            <w:col w:w="1220" w:space="720"/>
            <w:col w:w="1940" w:space="720"/>
            <w:col w:w="1579"/>
          </w:cols>
          <w:pgMar w:left="1440" w:top="665" w:right="1440" w:bottom="1440" w:gutter="0" w:footer="0" w:header="0"/>
          <w:type w:val="continuous"/>
        </w:sectPr>
      </w:pPr>
    </w:p>
    <w:p>
      <w:pPr>
        <w:ind w:left="60" w:right="279"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0" w:right="99" w:firstLine="648"/>
        <w:spacing w:after="0" w:line="16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7" w:lineRule="exact"/>
        <w:rPr>
          <w:sz w:val="24"/>
          <w:szCs w:val="24"/>
          <w:color w:val="auto"/>
        </w:rPr>
      </w:pPr>
    </w:p>
    <w:p>
      <w:pPr>
        <w:ind w:left="70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left="60" w:right="59"/>
        <w:spacing w:after="0" w:line="233"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registrant’s common stock held by non-affiliates of the registrant was approximately $550,896,639 (based upon the closing sale price of the registrant’s common stock reported on the Nasdaq Capital Market on that date). This calculation excludes shares held by the registrant’s current directors and executive officers and stockholders that the registrant has concluded are affiliates of the registrant.</w:t>
      </w:r>
    </w:p>
    <w:p>
      <w:pPr>
        <w:spacing w:after="0" w:line="90" w:lineRule="exact"/>
        <w:rPr>
          <w:sz w:val="24"/>
          <w:szCs w:val="24"/>
          <w:color w:val="auto"/>
        </w:rPr>
      </w:pPr>
    </w:p>
    <w:p>
      <w:pPr>
        <w:ind w:left="700"/>
        <w:spacing w:after="0"/>
        <w:rPr>
          <w:sz w:val="20"/>
          <w:szCs w:val="20"/>
          <w:color w:val="auto"/>
        </w:rPr>
      </w:pPr>
      <w:r>
        <w:rPr>
          <w:rFonts w:ascii="Arial" w:cs="Arial" w:eastAsia="Arial" w:hAnsi="Arial"/>
          <w:sz w:val="14"/>
          <w:szCs w:val="14"/>
          <w:color w:val="auto"/>
        </w:rPr>
        <w:t>There were 27,980,345 shares of our common stock outstanding at March 1, 2022.</w:t>
      </w:r>
    </w:p>
    <w:p>
      <w:pPr>
        <w:spacing w:after="0" w:line="6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left="60" w:right="139" w:firstLine="648"/>
        <w:spacing w:after="0" w:line="238"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which the registrant intends to file pursuant to Regulation 14A with the Securities and Exchange Commission not later than 120 days after the registrant’s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616585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161925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40" w:type="dxa"/>
            <w:vAlign w:val="bottom"/>
            <w:gridSpan w:val="12"/>
          </w:tcPr>
          <w:p>
            <w:pPr>
              <w:ind w:left="620"/>
              <w:spacing w:after="0"/>
              <w:rPr>
                <w:sz w:val="20"/>
                <w:szCs w:val="20"/>
                <w:color w:val="auto"/>
              </w:rPr>
            </w:pPr>
            <w:r>
              <w:rPr>
                <w:rFonts w:ascii="Arial" w:cs="Arial" w:eastAsia="Arial" w:hAnsi="Arial"/>
                <w:sz w:val="20"/>
                <w:szCs w:val="20"/>
                <w:b w:val="1"/>
                <w:bCs w:val="1"/>
                <w:color w:val="auto"/>
              </w:rPr>
              <w:t>TABLE OF CONTENTS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12"/>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 Looking Statements</w:t>
              </w:r>
            </w:hyperlink>
          </w:p>
        </w:tc>
        <w:tc>
          <w:tcPr>
            <w:tcW w:w="5240" w:type="dxa"/>
            <w:vAlign w:val="bottom"/>
            <w:gridSpan w:val="12"/>
            <w:vMerge w:val="restart"/>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bottom w:val="single" w:sz="8" w:color="0000EE"/>
            </w:tcBorders>
            <w:gridSpan w:val="12"/>
            <w:vMerge w:val="continue"/>
          </w:tcPr>
          <w:p>
            <w:pPr>
              <w:spacing w:after="0"/>
              <w:rPr>
                <w:sz w:val="13"/>
                <w:szCs w:val="13"/>
                <w:color w:val="auto"/>
              </w:rPr>
            </w:pPr>
          </w:p>
        </w:tc>
        <w:tc>
          <w:tcPr>
            <w:tcW w:w="5240" w:type="dxa"/>
            <w:vAlign w:val="bottom"/>
            <w:gridSpan w:val="12"/>
            <w:vMerge w:val="continue"/>
          </w:tcPr>
          <w:p>
            <w:pPr>
              <w:spacing w:after="0"/>
              <w:rPr>
                <w:sz w:val="13"/>
                <w:szCs w:val="13"/>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vMerge w:val="restart"/>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Part I.</w:t>
              </w:r>
            </w:hyperlink>
          </w:p>
        </w:tc>
        <w:tc>
          <w:tcPr>
            <w:tcW w:w="200" w:type="dxa"/>
            <w:vAlign w:val="bottom"/>
            <w:gridSpan w:val="5"/>
            <w:vMerge w:val="restart"/>
          </w:tcPr>
          <w:p>
            <w:pPr>
              <w:spacing w:after="0"/>
              <w:rPr>
                <w:sz w:val="18"/>
                <w:szCs w:val="18"/>
                <w:color w:val="auto"/>
              </w:rPr>
            </w:pPr>
          </w:p>
        </w:tc>
        <w:tc>
          <w:tcPr>
            <w:tcW w:w="20" w:type="dxa"/>
            <w:vAlign w:val="bottom"/>
          </w:tcPr>
          <w:p>
            <w:pPr>
              <w:spacing w:after="0"/>
              <w:rPr>
                <w:sz w:val="18"/>
                <w:szCs w:val="18"/>
                <w:color w:val="auto"/>
              </w:rPr>
            </w:pPr>
          </w:p>
        </w:tc>
        <w:tc>
          <w:tcPr>
            <w:tcW w:w="734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 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 w:type="dxa"/>
            <w:vAlign w:val="bottom"/>
            <w:tcBorders>
              <w:bottom w:val="single" w:sz="8" w:color="0000EE"/>
            </w:tcBorders>
            <w:vMerge w:val="continue"/>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1A. Risk Factors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1B. Unresolved Staff Comments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2.</w:t>
              </w:r>
            </w:hyperlink>
          </w:p>
        </w:tc>
        <w:tc>
          <w:tcPr>
            <w:tcW w:w="2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Properties</w:t>
              </w:r>
            </w:hyperlink>
          </w:p>
        </w:tc>
        <w:tc>
          <w:tcPr>
            <w:tcW w:w="530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3.</w:t>
              </w:r>
            </w:hyperlink>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Legal Proceedings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4.</w:t>
              </w:r>
            </w:hyperlink>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Mine Safety Disclosures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Part II.</w:t>
              </w:r>
            </w:hyperlink>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5.</w:t>
              </w:r>
            </w:hyperlink>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Market for Registrant’s Common Equity, Related Stockholder Matters and Issuer Purchases of Equity</w:t>
              </w:r>
            </w:hyperlink>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Securities</w:t>
              </w:r>
            </w:hyperlink>
          </w:p>
        </w:tc>
        <w:tc>
          <w:tcPr>
            <w:tcW w:w="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6.</w:t>
              </w:r>
            </w:hyperlink>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gridSpan w:val="3"/>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Reserved</w:t>
              </w:r>
            </w:hyperlink>
          </w:p>
        </w:tc>
        <w:tc>
          <w:tcPr>
            <w:tcW w:w="662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Item 7.</w:t>
              </w:r>
            </w:hyperlink>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Item 7A. Quantitative and Qualitative Disclosures About Market Risk</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8.</w:t>
              </w:r>
            </w:hyperlink>
          </w:p>
        </w:tc>
        <w:tc>
          <w:tcPr>
            <w:tcW w:w="20" w:type="dxa"/>
            <w:vAlign w:val="bottom"/>
          </w:tcPr>
          <w:p>
            <w:pPr>
              <w:spacing w:after="0"/>
              <w:rPr>
                <w:sz w:val="17"/>
                <w:szCs w:val="17"/>
                <w:color w:val="auto"/>
              </w:rPr>
            </w:pPr>
          </w:p>
        </w:tc>
        <w:tc>
          <w:tcPr>
            <w:tcW w:w="43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Financial Statements and Supplementary Data</w:t>
              </w:r>
            </w:hyperlink>
          </w:p>
        </w:tc>
        <w:tc>
          <w:tcPr>
            <w:tcW w:w="298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9.</w:t>
              </w:r>
            </w:hyperlink>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9A. Controls and Procedures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Item 9B</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105">
              <w:r>
                <w:rPr>
                  <w:rFonts w:ascii="Arial" w:cs="Arial" w:eastAsia="Arial" w:hAnsi="Arial"/>
                  <w:sz w:val="18"/>
                  <w:szCs w:val="18"/>
                  <w:color w:val="0000EE"/>
                </w:rPr>
                <w:t>Other Information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Item 9C. Disclosure Regarding Foreign Jurisdictions that Prevent Inspections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Part III.</w:t>
              </w:r>
            </w:hyperlink>
          </w:p>
        </w:tc>
        <w:tc>
          <w:tcPr>
            <w:tcW w:w="60" w:type="dxa"/>
            <w:vAlign w:val="bottom"/>
            <w:tcBorders>
              <w:top w:val="single" w:sz="8" w:color="0000EE"/>
            </w:tcBorders>
            <w:gridSpan w:val="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Item 10.</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Directors, Executive Officers and Corporate Governance</w:t>
              </w:r>
            </w:hyperlink>
          </w:p>
        </w:tc>
        <w:tc>
          <w:tcPr>
            <w:tcW w:w="324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Item 11.</w:t>
              </w:r>
            </w:hyperlink>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Executive Compensation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Item 12.</w:t>
              </w:r>
            </w:hyperlink>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Security Ownership of Certain Beneficial Owners and Management and Related Stockholder Matters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Item 13.</w:t>
              </w:r>
            </w:hyperlink>
          </w:p>
        </w:tc>
        <w:tc>
          <w:tcPr>
            <w:tcW w:w="20" w:type="dxa"/>
            <w:vAlign w:val="bottom"/>
          </w:tcPr>
          <w:p>
            <w:pPr>
              <w:spacing w:after="0"/>
              <w:rPr>
                <w:sz w:val="17"/>
                <w:szCs w:val="17"/>
                <w:color w:val="auto"/>
              </w:rPr>
            </w:pPr>
          </w:p>
        </w:tc>
        <w:tc>
          <w:tcPr>
            <w:tcW w:w="72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Transactions, and Director Independence</w:t>
              </w:r>
            </w:hyperlink>
          </w:p>
        </w:tc>
        <w:tc>
          <w:tcPr>
            <w:tcW w:w="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Item 14.</w:t>
              </w:r>
            </w:hyperlink>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Principal Accounting Fees and Services</w:t>
              </w:r>
            </w:hyperlink>
          </w:p>
        </w:tc>
        <w:tc>
          <w:tcPr>
            <w:tcW w:w="19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tcBorders>
              <w:top w:val="single" w:sz="8" w:color="0000EE"/>
            </w:tcBorders>
            <w:gridSpan w:val="5"/>
          </w:tcPr>
          <w:p>
            <w:pPr>
              <w:spacing w:after="0"/>
              <w:rPr>
                <w:rFonts w:ascii="Arial" w:cs="Arial" w:eastAsia="Arial" w:hAnsi="Arial"/>
                <w:sz w:val="18"/>
                <w:szCs w:val="18"/>
                <w:color w:val="0000EE"/>
                <w:w w:val="96"/>
              </w:rPr>
            </w:pPr>
            <w:hyperlink w:anchor="page107">
              <w:r>
                <w:rPr>
                  <w:rFonts w:ascii="Arial" w:cs="Arial" w:eastAsia="Arial" w:hAnsi="Arial"/>
                  <w:sz w:val="18"/>
                  <w:szCs w:val="18"/>
                  <w:color w:val="0000EE"/>
                  <w:w w:val="96"/>
                </w:rPr>
                <w:t>Part IV.</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Item 15.</w:t>
              </w:r>
            </w:hyperlink>
          </w:p>
        </w:tc>
        <w:tc>
          <w:tcPr>
            <w:tcW w:w="20" w:type="dxa"/>
            <w:vAlign w:val="bottom"/>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Exhibits and Financial Statement Schedules</w:t>
              </w:r>
            </w:hyperlink>
          </w:p>
        </w:tc>
        <w:tc>
          <w:tcPr>
            <w:tcW w:w="418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5"/>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Item 16.</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gridSpan w:val="24"/>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Form 10-K Summary</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Signatures</w:t>
              </w:r>
            </w:hyperlink>
          </w:p>
        </w:tc>
        <w:tc>
          <w:tcPr>
            <w:tcW w:w="580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013"/>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64"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auto"/>
        </w:rPr>
      </w:pPr>
    </w:p>
    <w:p>
      <w:pPr>
        <w:ind w:left="1040" w:right="2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auto"/>
        </w:rPr>
      </w:pPr>
    </w:p>
    <w:p>
      <w:pPr>
        <w:ind w:left="1040" w:right="1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 for additional financing;</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84"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Part I, Item 1A. “Risk Factors,” Part II, Item 7. “Management’s Discussion and Analysis of Financial Condition and Results of Operations” and elsewhere in this Annual Report on Form 10-K.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53"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8"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As used in this Annual Report on Form 10-K, unless otherwise specified or the context otherwise requires, the terms “we,” “our,” “us,” the “Company” or “BTI” refer to BioXcel Therapeutics, Inc., and “BioXcel, LLC” refers to the Company’s former parent company and significant stockholder, BioXcel LLC, and its predecessor, BioXcel Corporation. All brand names or trademarks appearing in this Annual Report on Form 10-K are the property of their respective owners.</w:t>
      </w:r>
    </w:p>
    <w:p>
      <w:pPr>
        <w:spacing w:after="0" w:line="130"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We may use our website as a distribution channel of material information about the Company. Financial and other important information regarding the Company is routinely posted on and accessible through the Investors sections of its website at www.bioxceltherapeutics.com. In addition, you may automatically receive email alerts and other information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about the Company when you enroll your email address by visiting the “Email Alerts” option under the News / Events menu of the Investors section of our website at www.bioxceltherapeutics.com.</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65" w:lineRule="exact"/>
        <w:rPr>
          <w:sz w:val="20"/>
          <w:szCs w:val="20"/>
          <w:color w:val="auto"/>
        </w:rPr>
      </w:pPr>
    </w:p>
    <w:p>
      <w:pPr>
        <w:ind w:left="700" w:right="19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rFonts w:ascii="Arial" w:cs="Arial" w:eastAsia="Arial" w:hAnsi="Arial"/>
          <w:sz w:val="18"/>
          <w:szCs w:val="18"/>
          <w:color w:val="auto"/>
        </w:rPr>
      </w:pPr>
    </w:p>
    <w:p>
      <w:pPr>
        <w:ind w:left="700" w:right="71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and anticipate that we will continue to incur substantial operating losses for the foreseeable future and may never achieve or maintain profitability.</w:t>
      </w:r>
    </w:p>
    <w:p>
      <w:pPr>
        <w:spacing w:after="0" w:line="123" w:lineRule="exact"/>
        <w:rPr>
          <w:rFonts w:ascii="Arial" w:cs="Arial" w:eastAsia="Arial" w:hAnsi="Arial"/>
          <w:sz w:val="16"/>
          <w:szCs w:val="16"/>
          <w:color w:val="auto"/>
        </w:rPr>
      </w:pPr>
    </w:p>
    <w:p>
      <w:pPr>
        <w:ind w:left="700" w:right="99" w:hanging="326"/>
        <w:spacing w:after="0" w:line="308"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rFonts w:ascii="Arial" w:cs="Arial" w:eastAsia="Arial" w:hAnsi="Arial"/>
          <w:sz w:val="17"/>
          <w:szCs w:val="17"/>
          <w:color w:val="auto"/>
        </w:rPr>
      </w:pPr>
    </w:p>
    <w:p>
      <w:pPr>
        <w:ind w:left="700" w:hanging="326"/>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limited experience in drug discovery and drug development, and we have never had a drug approved.</w:t>
      </w:r>
    </w:p>
    <w:p>
      <w:pPr>
        <w:spacing w:after="0" w:line="248" w:lineRule="exact"/>
        <w:rPr>
          <w:rFonts w:ascii="Arial" w:cs="Arial" w:eastAsia="Arial" w:hAnsi="Arial"/>
          <w:sz w:val="16"/>
          <w:szCs w:val="16"/>
          <w:color w:val="auto"/>
        </w:rPr>
      </w:pPr>
    </w:p>
    <w:p>
      <w:pPr>
        <w:ind w:left="700" w:right="219" w:hanging="32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6" w:lineRule="exact"/>
        <w:rPr>
          <w:rFonts w:ascii="Arial" w:cs="Arial" w:eastAsia="Arial" w:hAnsi="Arial"/>
          <w:sz w:val="18"/>
          <w:szCs w:val="18"/>
          <w:color w:val="auto"/>
        </w:rPr>
      </w:pPr>
    </w:p>
    <w:p>
      <w:pPr>
        <w:jc w:val="both"/>
        <w:ind w:left="700" w:right="9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3"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3" w:lineRule="exact"/>
        <w:rPr>
          <w:rFonts w:ascii="Arial" w:cs="Arial" w:eastAsia="Arial" w:hAnsi="Arial"/>
          <w:sz w:val="18"/>
          <w:szCs w:val="18"/>
          <w:color w:val="auto"/>
        </w:rPr>
      </w:pPr>
    </w:p>
    <w:p>
      <w:pPr>
        <w:ind w:left="700" w:right="43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time-consuming and difficult to design and implement, and involve an uncertain outcome.</w:t>
      </w:r>
    </w:p>
    <w:p>
      <w:pPr>
        <w:spacing w:after="0" w:line="170" w:lineRule="exact"/>
        <w:rPr>
          <w:rFonts w:ascii="Arial" w:cs="Arial" w:eastAsia="Arial" w:hAnsi="Arial"/>
          <w:sz w:val="18"/>
          <w:szCs w:val="18"/>
          <w:color w:val="auto"/>
        </w:rPr>
      </w:pPr>
    </w:p>
    <w:p>
      <w:pPr>
        <w:ind w:left="700" w:right="37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3" w:lineRule="exact"/>
        <w:rPr>
          <w:rFonts w:ascii="Arial" w:cs="Arial" w:eastAsia="Arial" w:hAnsi="Arial"/>
          <w:sz w:val="18"/>
          <w:szCs w:val="18"/>
          <w:color w:val="auto"/>
        </w:rPr>
      </w:pPr>
    </w:p>
    <w:p>
      <w:pPr>
        <w:ind w:left="700" w:right="43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BioXcel’s approach to the discovery and development of product candidates based on EvolverAI is novel and unproven, and we do not know whether we will be able to develop any products of commercial value.</w:t>
      </w:r>
    </w:p>
    <w:p>
      <w:pPr>
        <w:spacing w:after="0" w:line="123" w:lineRule="exact"/>
        <w:rPr>
          <w:rFonts w:ascii="Arial" w:cs="Arial" w:eastAsia="Arial" w:hAnsi="Arial"/>
          <w:sz w:val="16"/>
          <w:szCs w:val="16"/>
          <w:color w:val="auto"/>
        </w:rPr>
      </w:pPr>
    </w:p>
    <w:p>
      <w:pPr>
        <w:ind w:left="700" w:right="79" w:hanging="326"/>
        <w:spacing w:after="0" w:line="25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FDA approval (or clearance, or certification) of a companion diagnostic device, we will not be able to commercialize the product candidate and our ability to generate revenue will be materially impaired.</w:t>
      </w:r>
    </w:p>
    <w:p>
      <w:pPr>
        <w:spacing w:after="0" w:line="187" w:lineRule="exact"/>
        <w:rPr>
          <w:rFonts w:ascii="Arial" w:cs="Arial" w:eastAsia="Arial" w:hAnsi="Arial"/>
          <w:sz w:val="18"/>
          <w:szCs w:val="18"/>
          <w:color w:val="auto"/>
        </w:rPr>
      </w:pPr>
    </w:p>
    <w:p>
      <w:pPr>
        <w:ind w:left="700" w:right="11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19" w:hanging="32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products do not gain market acceptance, our business will suffer because we might not be able to fund future operations.</w:t>
      </w:r>
    </w:p>
    <w:p>
      <w:pPr>
        <w:spacing w:after="0" w:line="170" w:lineRule="exact"/>
        <w:rPr>
          <w:rFonts w:ascii="Arial" w:cs="Arial" w:eastAsia="Arial" w:hAnsi="Arial"/>
          <w:sz w:val="18"/>
          <w:szCs w:val="18"/>
          <w:color w:val="auto"/>
        </w:rPr>
      </w:pPr>
    </w:p>
    <w:p>
      <w:pPr>
        <w:ind w:left="700" w:right="259" w:hanging="326"/>
        <w:spacing w:after="0" w:line="34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obtain regulatory approvals to commercialize BXCL501, BXCL701 or our other product candidates, our product candidates may not be accepted by physicians or the medical community in general.</w:t>
      </w:r>
    </w:p>
    <w:p>
      <w:pPr>
        <w:spacing w:after="0" w:line="123" w:lineRule="exact"/>
        <w:rPr>
          <w:rFonts w:ascii="Arial" w:cs="Arial" w:eastAsia="Arial" w:hAnsi="Arial"/>
          <w:sz w:val="16"/>
          <w:szCs w:val="16"/>
          <w:color w:val="auto"/>
        </w:rPr>
      </w:pPr>
    </w:p>
    <w:p>
      <w:pPr>
        <w:ind w:left="700" w:hanging="32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to provide us with certain services for our business.</w:t>
      </w:r>
    </w:p>
    <w:p>
      <w:pPr>
        <w:spacing w:after="0" w:line="225" w:lineRule="exact"/>
        <w:rPr>
          <w:rFonts w:ascii="Arial" w:cs="Arial" w:eastAsia="Arial" w:hAnsi="Arial"/>
          <w:sz w:val="18"/>
          <w:szCs w:val="18"/>
          <w:color w:val="auto"/>
        </w:rPr>
      </w:pPr>
    </w:p>
    <w:p>
      <w:pPr>
        <w:ind w:left="700" w:right="99" w:hanging="326"/>
        <w:spacing w:after="0" w:line="25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92"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find third party collaborators to assist or share in the costs of product development could materially harm our business, financial condition and results of operations.</w:t>
      </w:r>
    </w:p>
    <w:p>
      <w:pPr>
        <w:spacing w:after="0" w:line="170" w:lineRule="exact"/>
        <w:rPr>
          <w:rFonts w:ascii="Arial" w:cs="Arial" w:eastAsia="Arial" w:hAnsi="Arial"/>
          <w:sz w:val="18"/>
          <w:szCs w:val="18"/>
          <w:color w:val="auto"/>
        </w:rPr>
      </w:pPr>
    </w:p>
    <w:p>
      <w:pPr>
        <w:ind w:left="700" w:right="119" w:hanging="326"/>
        <w:spacing w:after="0" w:line="26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We are a clinical stage biopharmaceutical company utilizing artificial intelligence approaches to develop transformative medicines in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a substantial unmet medical need.</w:t>
      </w:r>
    </w:p>
    <w:p>
      <w:pPr>
        <w:spacing w:after="0" w:line="176"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Our two most advanced clinical development programs are BXCL501, an investigational, proprietary, orally dissolving, sublingual thin film formulation of the adrenergic receptor agonist dexmedetomidine, or Dex, for the treatment of agitation resulting from neuropsychiatric disorders, and BXCL701, an investigational orally administered systemic innate immune activator for the treatment of castration resistant prostate cancer and advanced solid tumors that are refractory or treatment naïve to checkpoint inhibitors.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left="60" w:right="79" w:firstLine="369"/>
        <w:spacing w:after="0" w:line="293" w:lineRule="auto"/>
        <w:rPr>
          <w:sz w:val="20"/>
          <w:szCs w:val="20"/>
          <w:color w:val="auto"/>
        </w:rPr>
      </w:pPr>
      <w:r>
        <w:rPr>
          <w:rFonts w:ascii="Arial" w:cs="Arial" w:eastAsia="Arial" w:hAnsi="Arial"/>
          <w:sz w:val="16"/>
          <w:szCs w:val="16"/>
          <w:color w:val="auto"/>
        </w:rPr>
        <w:t>During the first quarter ended March 31, 2020, and continuing through December 31, 2021, the novel coronavirus disease, or COVID-19, was declared a pandemic and spread to multiple regions across the globe, including the United States and Europe.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64"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To date, we have taken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 Beginning late in the second quarter of 2020, we began to slowly bring our staff, in very limited numbers, back to our office. This modified return-to-work approach is continuing into 2022. We have taken steps to protect our workforce and have instituted strict work rules to protect our employees.</w:t>
      </w:r>
    </w:p>
    <w:p>
      <w:pPr>
        <w:spacing w:after="0" w:line="192" w:lineRule="exact"/>
        <w:rPr>
          <w:sz w:val="20"/>
          <w:szCs w:val="20"/>
          <w:color w:val="auto"/>
        </w:rPr>
      </w:pPr>
    </w:p>
    <w:p>
      <w:pPr>
        <w:ind w:left="60" w:right="219" w:firstLine="324"/>
        <w:spacing w:after="0" w:line="257"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We remain committed to our clinical programs and development plans. Other than our Phase 2 clinical trial evaluating BXCL501 in patients with delirium, through December 31, 2021, we have not experienced any significant delays to our ongoing or planned clinical trials, except for challenges in accessing elderly care facilities and ICU settings; however, this could rapidly 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is a summary of the status of our clinical development programs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117475</wp:posOffset>
            </wp:positionV>
            <wp:extent cx="5589270" cy="3145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927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7"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7"/>
          <w:szCs w:val="17"/>
          <w:color w:val="auto"/>
        </w:rPr>
        <w:t>Our goal is to become the leading AI-enabled neuroscience company while further developing our immuno-oncology assets. We continue to evaluate all strategic options available to us for these assets which could include licensing, partnering, co-commercialization or a spin-out. The key elements to achieving these goals are as follows: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Neuroscience</w:t>
      </w:r>
    </w:p>
    <w:p>
      <w:pPr>
        <w:spacing w:after="0" w:line="171" w:lineRule="exact"/>
        <w:rPr>
          <w:sz w:val="20"/>
          <w:szCs w:val="20"/>
          <w:color w:val="auto"/>
        </w:rPr>
      </w:pPr>
    </w:p>
    <w:p>
      <w:pPr>
        <w:ind w:left="720" w:right="79" w:hanging="319"/>
        <w:spacing w:after="0" w:line="277"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Advance BXCL501, a proprietary, orally dissolving thin film formulation of dexmedetomidine, or Dex, a selective α</w:t>
      </w:r>
      <w:r>
        <w:rPr>
          <w:rFonts w:ascii="Arial" w:cs="Arial" w:eastAsia="Arial" w:hAnsi="Arial"/>
          <w:sz w:val="23"/>
          <w:szCs w:val="23"/>
          <w:b w:val="1"/>
          <w:bCs w:val="1"/>
          <w:color w:val="auto"/>
          <w:vertAlign w:val="subscript"/>
        </w:rPr>
        <w:t>2a</w:t>
      </w:r>
      <w:r>
        <w:rPr>
          <w:rFonts w:ascii="Arial" w:cs="Arial" w:eastAsia="Arial" w:hAnsi="Arial"/>
          <w:sz w:val="16"/>
          <w:szCs w:val="16"/>
          <w:b w:val="1"/>
          <w:bCs w:val="1"/>
          <w:color w:val="auto"/>
        </w:rPr>
        <w:t xml:space="preserve"> adrenergic receptor agonist, </w:t>
      </w:r>
      <w:r>
        <w:rPr>
          <w:rFonts w:ascii="Arial" w:cs="Arial" w:eastAsia="Arial" w:hAnsi="Arial"/>
          <w:sz w:val="16"/>
          <w:szCs w:val="16"/>
          <w:color w:val="auto"/>
        </w:rPr>
        <w:t>targeting symptoms from stress-related behaviors such as agitation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opioid withdrawal symptoms. BXCL501 is our most advanced neuroscience clinical program, currently being developed for the acute treatment of agitation related to schizophrenia, bipolar disorders, Alzheimer’s disease and delirium, the symptoms associated with opioid withdrawal, and as an adjunctive treatment for major depressive disorder (“MDD”) in conjunction with the use of Selective Serotonin / Norepinephrine Reuptake Inhibitors (“SS/NRIs”). We have submitted a New Drug Application (NDA) utilizing the Section 505(b)(2) pathway for BXCL501 for the acute treatment of agitation associated with schizophrenia and bipolar disorders I and II. The United States Food and Drug Administration (“FDA”) filed the application for review and assigned an April 5, 2022, Prescription Drug User Fee Act (“PUDFA”) goal date.</w:t>
      </w:r>
    </w:p>
    <w:p>
      <w:pPr>
        <w:spacing w:after="0" w:line="119" w:lineRule="exact"/>
        <w:rPr>
          <w:rFonts w:ascii="Arial" w:cs="Arial" w:eastAsia="Arial" w:hAnsi="Arial"/>
          <w:sz w:val="16"/>
          <w:szCs w:val="16"/>
          <w:color w:val="auto"/>
        </w:rPr>
      </w:pPr>
    </w:p>
    <w:p>
      <w:pPr>
        <w:ind w:left="1380" w:right="219" w:hanging="331"/>
        <w:spacing w:after="0" w:line="347" w:lineRule="auto"/>
        <w:tabs>
          <w:tab w:leader="none" w:pos="1380"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Neurological and Psychiatric Disorders. </w:t>
      </w:r>
      <w:r>
        <w:rPr>
          <w:rFonts w:ascii="Arial" w:cs="Arial" w:eastAsia="Arial" w:hAnsi="Arial"/>
          <w:sz w:val="16"/>
          <w:szCs w:val="16"/>
          <w:color w:val="auto"/>
        </w:rPr>
        <w:t>We believe that BXCL501, if approved, has the potential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the standard of care for the acute treatment of agitation arising from diseases such as:</w:t>
      </w:r>
    </w:p>
    <w:p>
      <w:pPr>
        <w:spacing w:after="0" w:line="33" w:lineRule="exact"/>
        <w:rPr>
          <w:rFonts w:ascii="Arial" w:cs="Arial" w:eastAsia="Arial" w:hAnsi="Arial"/>
          <w:sz w:val="16"/>
          <w:szCs w:val="16"/>
          <w:color w:val="auto"/>
        </w:rPr>
      </w:pPr>
    </w:p>
    <w:p>
      <w:pPr>
        <w:ind w:left="1700"/>
        <w:spacing w:after="0"/>
        <w:rPr>
          <w:rFonts w:ascii="Arial" w:cs="Arial" w:eastAsia="Arial" w:hAnsi="Arial"/>
          <w:sz w:val="16"/>
          <w:szCs w:val="16"/>
          <w:color w:val="auto"/>
        </w:rPr>
      </w:pPr>
      <w:r>
        <w:rPr>
          <w:rFonts w:ascii="Arial" w:cs="Arial" w:eastAsia="Arial" w:hAnsi="Arial"/>
          <w:sz w:val="18"/>
          <w:szCs w:val="18"/>
          <w:color w:val="auto"/>
        </w:rPr>
        <w:t>Schizophrenia and bipolar disorder (SERENITY I and II trials);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20" w:right="519"/>
        <w:spacing w:after="0" w:line="277" w:lineRule="auto"/>
        <w:rPr>
          <w:sz w:val="20"/>
          <w:szCs w:val="20"/>
          <w:color w:val="auto"/>
        </w:rPr>
      </w:pPr>
      <w:r>
        <w:rPr>
          <w:rFonts w:ascii="Arial" w:cs="Arial" w:eastAsia="Arial" w:hAnsi="Arial"/>
          <w:sz w:val="18"/>
          <w:szCs w:val="18"/>
          <w:color w:val="auto"/>
        </w:rPr>
        <w:t>Alzheimer’s disease (TRANQUILITY II and TRANQUILITY III trials within our pivotal Phase 3 program)</w:t>
      </w:r>
    </w:p>
    <w:p>
      <w:pPr>
        <w:spacing w:after="0" w:line="148" w:lineRule="exact"/>
        <w:rPr>
          <w:sz w:val="20"/>
          <w:szCs w:val="20"/>
          <w:color w:val="auto"/>
        </w:rPr>
      </w:pPr>
    </w:p>
    <w:p>
      <w:pPr>
        <w:ind w:left="1380" w:right="559" w:hanging="331"/>
        <w:spacing w:after="0" w:line="263"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given the differentiated design of BXCL501 and its potential mechanism of action, we believe BXCL501 has the potential to address several diseases or conditions where agitation is a symptom of the condition or underlying disease, including:</w:t>
      </w:r>
    </w:p>
    <w:p>
      <w:pPr>
        <w:spacing w:after="0" w:line="9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As an adjunctive treatment for MDD;</w:t>
      </w:r>
    </w:p>
    <w:p>
      <w:pPr>
        <w:spacing w:after="0" w:line="225" w:lineRule="exact"/>
        <w:rPr>
          <w:rFonts w:ascii="Arial" w:cs="Arial" w:eastAsia="Arial" w:hAnsi="Arial"/>
          <w:sz w:val="18"/>
          <w:szCs w:val="18"/>
          <w:color w:val="auto"/>
        </w:rPr>
      </w:pPr>
    </w:p>
    <w:p>
      <w:pPr>
        <w:ind w:left="2020" w:right="4299"/>
        <w:spacing w:after="0" w:line="464" w:lineRule="auto"/>
        <w:rPr>
          <w:rFonts w:ascii="Arial" w:cs="Arial" w:eastAsia="Arial" w:hAnsi="Arial"/>
          <w:sz w:val="18"/>
          <w:szCs w:val="18"/>
          <w:color w:val="auto"/>
        </w:rPr>
      </w:pPr>
      <w:r>
        <w:rPr>
          <w:rFonts w:ascii="Arial" w:cs="Arial" w:eastAsia="Arial" w:hAnsi="Arial"/>
          <w:sz w:val="17"/>
          <w:szCs w:val="17"/>
          <w:color w:val="auto"/>
        </w:rPr>
        <w:t>Opioid withdrawal (RELEASE trial); Delirium (PLACIDITY trial); and</w:t>
      </w:r>
    </w:p>
    <w:p>
      <w:pPr>
        <w:ind w:left="1700"/>
        <w:spacing w:after="0"/>
        <w:rPr>
          <w:rFonts w:ascii="Arial" w:cs="Arial" w:eastAsia="Arial" w:hAnsi="Arial"/>
          <w:sz w:val="18"/>
          <w:szCs w:val="18"/>
          <w:color w:val="auto"/>
        </w:rPr>
      </w:pPr>
      <w:r>
        <w:rPr>
          <w:rFonts w:ascii="Arial" w:cs="Arial" w:eastAsia="Arial" w:hAnsi="Arial"/>
          <w:sz w:val="18"/>
          <w:szCs w:val="18"/>
          <w:color w:val="auto"/>
        </w:rPr>
        <w:t>Post-traumatic stress disorder (“PTSD”).</w:t>
      </w:r>
    </w:p>
    <w:p>
      <w:pPr>
        <w:spacing w:after="0" w:line="20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Pipeline Opportunities for Franchise Expansion</w:t>
      </w:r>
    </w:p>
    <w:p>
      <w:pPr>
        <w:spacing w:after="0" w:line="175" w:lineRule="exact"/>
        <w:rPr>
          <w:sz w:val="20"/>
          <w:szCs w:val="20"/>
          <w:color w:val="auto"/>
        </w:rPr>
      </w:pPr>
    </w:p>
    <w:p>
      <w:pPr>
        <w:ind w:left="1340" w:right="99" w:firstLine="648"/>
        <w:spacing w:after="0" w:line="279" w:lineRule="auto"/>
        <w:rPr>
          <w:sz w:val="20"/>
          <w:szCs w:val="20"/>
          <w:color w:val="auto"/>
        </w:rPr>
      </w:pPr>
      <w:r>
        <w:rPr>
          <w:rFonts w:ascii="Arial" w:cs="Arial" w:eastAsia="Arial" w:hAnsi="Arial"/>
          <w:sz w:val="17"/>
          <w:szCs w:val="17"/>
          <w:color w:val="auto"/>
        </w:rPr>
        <w:t>In December 2020, the VA Connecticut Healthcare System and Yale University Medical School were awarded a grant by the U.S. Department of Defense’s Congressionally Directed Medical Research Programs to evaluate BXCL501 in patients suffering from PTSD as well as alcohol use disorder. We plan to investigate BXCL501 as a potential chronic treatment for PTSD.</w:t>
      </w:r>
    </w:p>
    <w:p>
      <w:pPr>
        <w:spacing w:after="0" w:line="117" w:lineRule="exact"/>
        <w:rPr>
          <w:sz w:val="20"/>
          <w:szCs w:val="20"/>
          <w:color w:val="auto"/>
        </w:rPr>
      </w:pPr>
    </w:p>
    <w:p>
      <w:pPr>
        <w:ind w:left="1340" w:right="79" w:firstLine="648"/>
        <w:spacing w:after="0" w:line="271" w:lineRule="auto"/>
        <w:rPr>
          <w:sz w:val="20"/>
          <w:szCs w:val="20"/>
          <w:color w:val="auto"/>
        </w:rPr>
      </w:pPr>
      <w:r>
        <w:rPr>
          <w:rFonts w:ascii="Arial" w:cs="Arial" w:eastAsia="Arial" w:hAnsi="Arial"/>
          <w:sz w:val="17"/>
          <w:szCs w:val="17"/>
          <w:color w:val="auto"/>
        </w:rPr>
        <w:t>We continue to explore the potential for a wearable device to measure early signs of agitation in patients who are consistent with the patient groups we are evaluating in BXCL501 clinical trials. Feasibility studies demonstrated that patients were able to wear these devices and that these devices were able to transmit data to our service vendor. Along with our service vendor, we are developing methods to use these data in an effort to construct algorithms designed to predict when a patient is becoming agitated. The goal of this program is to establish a predictive algorithm that would allow providers to treat patients before they become highly agitated. A study in healthy volunteers that are mildly agitated is scheduled to begin in Q1, 2022.</w:t>
      </w:r>
    </w:p>
    <w:p>
      <w:pPr>
        <w:spacing w:after="0" w:line="124" w:lineRule="exact"/>
        <w:rPr>
          <w:sz w:val="20"/>
          <w:szCs w:val="20"/>
          <w:color w:val="auto"/>
        </w:rPr>
      </w:pPr>
    </w:p>
    <w:p>
      <w:pPr>
        <w:ind w:left="1340" w:right="99" w:firstLine="693"/>
        <w:spacing w:after="0" w:line="273" w:lineRule="auto"/>
        <w:rPr>
          <w:sz w:val="20"/>
          <w:szCs w:val="20"/>
          <w:color w:val="auto"/>
        </w:rPr>
      </w:pPr>
      <w:r>
        <w:rPr>
          <w:rFonts w:ascii="Arial" w:cs="Arial" w:eastAsia="Arial" w:hAnsi="Arial"/>
          <w:sz w:val="17"/>
          <w:szCs w:val="17"/>
          <w:color w:val="auto"/>
        </w:rPr>
        <w:t>We are advancing our preparations for commercial and launch readiness in preparation for the potential approval of our NDA for BXCL501 by the FDA. We are optimizing the design and recruitment of our sales force and market access and pricing strategy for the potential commercial launch of BXCL501 for the acute treatment of agitation associated with schizophrenia and bipolar disorders I &amp; II. This work will be a crucial foundation to launching additional potential follow-on indications, paving the way for our expanding neuroscience business.</w:t>
      </w:r>
    </w:p>
    <w:p>
      <w:pPr>
        <w:spacing w:after="0" w:line="124" w:lineRule="exact"/>
        <w:rPr>
          <w:sz w:val="20"/>
          <w:szCs w:val="20"/>
          <w:color w:val="auto"/>
        </w:rPr>
      </w:pPr>
    </w:p>
    <w:p>
      <w:pPr>
        <w:ind w:left="1340" w:right="79" w:firstLine="648"/>
        <w:spacing w:after="0" w:line="301" w:lineRule="auto"/>
        <w:rPr>
          <w:sz w:val="20"/>
          <w:szCs w:val="20"/>
          <w:color w:val="auto"/>
        </w:rPr>
      </w:pPr>
      <w:r>
        <w:rPr>
          <w:rFonts w:ascii="Arial" w:cs="Arial" w:eastAsia="Arial" w:hAnsi="Arial"/>
          <w:sz w:val="16"/>
          <w:szCs w:val="16"/>
          <w:color w:val="auto"/>
        </w:rPr>
        <w:t>During the second half of 2021, we fully launched our unbranded disease education campaign to promote awareness around the treatment of agitation in schizophrenia and bipolar disorders. In addition, we fully deployed our Medical Science Liaison and Medical Managed Care teams who actively engaged with healthcare professionals and payors to provide key insights to support our commercial strategy.</w:t>
      </w:r>
    </w:p>
    <w:p>
      <w:pPr>
        <w:spacing w:after="0" w:line="103" w:lineRule="exact"/>
        <w:rPr>
          <w:sz w:val="20"/>
          <w:szCs w:val="20"/>
          <w:color w:val="auto"/>
        </w:rPr>
      </w:pPr>
    </w:p>
    <w:p>
      <w:pPr>
        <w:ind w:left="1340" w:right="379" w:firstLine="648"/>
        <w:spacing w:after="0" w:line="277" w:lineRule="auto"/>
        <w:rPr>
          <w:sz w:val="20"/>
          <w:szCs w:val="20"/>
          <w:color w:val="auto"/>
        </w:rPr>
      </w:pPr>
      <w:r>
        <w:rPr>
          <w:rFonts w:ascii="Arial" w:cs="Arial" w:eastAsia="Arial" w:hAnsi="Arial"/>
          <w:sz w:val="18"/>
          <w:szCs w:val="18"/>
          <w:color w:val="auto"/>
        </w:rPr>
        <w:t>If BXCL501 is approved outside the United States we would consider launching the product through collaborations with third parties.</w:t>
      </w:r>
    </w:p>
    <w:p>
      <w:pPr>
        <w:spacing w:after="0" w:line="116" w:lineRule="exact"/>
        <w:rPr>
          <w:sz w:val="20"/>
          <w:szCs w:val="20"/>
          <w:color w:val="auto"/>
        </w:rPr>
      </w:pPr>
    </w:p>
    <w:p>
      <w:pPr>
        <w:ind w:left="1340" w:right="199" w:firstLine="648"/>
        <w:spacing w:after="0" w:line="270" w:lineRule="auto"/>
        <w:rPr>
          <w:sz w:val="20"/>
          <w:szCs w:val="20"/>
          <w:color w:val="auto"/>
        </w:rPr>
      </w:pPr>
      <w:r>
        <w:rPr>
          <w:rFonts w:ascii="Arial" w:cs="Arial" w:eastAsia="Arial" w:hAnsi="Arial"/>
          <w:sz w:val="17"/>
          <w:szCs w:val="17"/>
          <w:color w:val="auto"/>
        </w:rPr>
        <w:t>We recently identified and initiated the development of a second neuropsychiatric product candidate, BXCL502. We plan to evaluate BXCL502 initially as a monotherapy and possibly as a combination with BXCL501 for the chronic treatment of agitation in patients with dementia, including Alzheimer’s disease. The active pharmaceutical ingredient (“API”) underlying BXCL502 is designed to be a potent and selective antagonist of a G-protein coupled receptor (“GPCR”) that affects serotonergic signaling in the brain. Our preclinical data and machine learning results suggest BXCL502 has the potential to treat agitation and stress related neuropsychiatric symptoms in dementia. In previously published third party clinical trial data, daily administration of the API of BXCL502 demonstrated improvement in agitation using a well-established, clinically validated</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1296"/>
        <w:spacing w:after="0" w:line="438" w:lineRule="auto"/>
        <w:rPr>
          <w:sz w:val="20"/>
          <w:szCs w:val="20"/>
          <w:color w:val="auto"/>
        </w:rPr>
      </w:pPr>
      <w:r>
        <w:rPr>
          <w:rFonts w:ascii="Arial" w:cs="Arial" w:eastAsia="Arial" w:hAnsi="Arial"/>
          <w:sz w:val="18"/>
          <w:szCs w:val="18"/>
          <w:color w:val="auto"/>
        </w:rPr>
        <w:t xml:space="preserve">symptom scale. Formulation and clinical development planning are currently underway with BXCL502. </w:t>
      </w:r>
      <w:r>
        <w:rPr>
          <w:rFonts w:ascii="Arial" w:cs="Arial" w:eastAsia="Arial" w:hAnsi="Arial"/>
          <w:sz w:val="18"/>
          <w:szCs w:val="18"/>
          <w:b w:val="1"/>
          <w:bCs w:val="1"/>
          <w:u w:val="single" w:color="auto"/>
          <w:color w:val="auto"/>
        </w:rPr>
        <w:t>Immuno-Oncology</w:t>
      </w:r>
    </w:p>
    <w:p>
      <w:pPr>
        <w:spacing w:after="0" w:line="1"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BXCL701 is a potential first-in-class, oral, small-molecule immunomodulator designed to stimulate both the innate and acquired immune systems by inhibiting DPP 8/9. DPP 8/9 behave as "checkpoints" of pyroptosis and inflammasome activation. We believe that BXCL701, if successfully developed and approved, may establish a differentiated immuno-oncology platform by modulating multiple steps in the cancer immunity cycle and, when combined with checkpoint inhibitors and/or immune activating agents, may be able to convert immuno-resistant (“cold”) tumors to immuno-sensitive (“hot”) tumors.</w:t>
      </w:r>
    </w:p>
    <w:p>
      <w:pPr>
        <w:spacing w:after="0" w:line="134" w:lineRule="exact"/>
        <w:rPr>
          <w:sz w:val="20"/>
          <w:szCs w:val="20"/>
          <w:color w:val="auto"/>
        </w:rPr>
      </w:pPr>
    </w:p>
    <w:p>
      <w:pPr>
        <w:ind w:left="720" w:right="379" w:hanging="319"/>
        <w:spacing w:after="0" w:line="282"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Complete BXCL701 Phase 2 trials to evaluate its potential for the treatment of castrate resistant cancer (“CRPC”), including the neuroendocrine (“NEPC”) variety.</w:t>
      </w:r>
    </w:p>
    <w:p>
      <w:pPr>
        <w:spacing w:after="0" w:line="107" w:lineRule="exact"/>
        <w:rPr>
          <w:rFonts w:ascii="Arial" w:cs="Arial" w:eastAsia="Arial" w:hAnsi="Arial"/>
          <w:sz w:val="18"/>
          <w:szCs w:val="18"/>
          <w:color w:val="auto"/>
        </w:rPr>
      </w:pPr>
    </w:p>
    <w:p>
      <w:pPr>
        <w:ind w:left="1380" w:right="279" w:hanging="331"/>
        <w:spacing w:after="0" w:line="259" w:lineRule="auto"/>
        <w:tabs>
          <w:tab w:leader="none" w:pos="138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NEPC (Orphan Segment of Prostate Cancer and Castrate Resistant Prostate Cancer). </w:t>
      </w:r>
      <w:r>
        <w:rPr>
          <w:rFonts w:ascii="Arial" w:cs="Arial" w:eastAsia="Arial" w:hAnsi="Arial"/>
          <w:sz w:val="17"/>
          <w:szCs w:val="17"/>
          <w:color w:val="auto"/>
        </w:rPr>
        <w:t>BXCL701</w:t>
      </w:r>
      <w:r>
        <w:rPr>
          <w:rFonts w:ascii="Arial" w:cs="Arial" w:eastAsia="Arial" w:hAnsi="Arial"/>
          <w:sz w:val="17"/>
          <w:szCs w:val="17"/>
          <w:b w:val="1"/>
          <w:bCs w:val="1"/>
          <w:color w:val="auto"/>
        </w:rPr>
        <w:t xml:space="preserve"> </w:t>
      </w:r>
      <w:r>
        <w:rPr>
          <w:rFonts w:ascii="Arial" w:cs="Arial" w:eastAsia="Arial" w:hAnsi="Arial"/>
          <w:sz w:val="17"/>
          <w:szCs w:val="17"/>
          <w:color w:val="auto"/>
        </w:rPr>
        <w:t>was previously studied in multiple clinical trials and demonstrated single agent anti-tumor activity in melanoma, an immune-sensitive tumor. In April 2020, we announced the initiation of the Phase 2 efficacy portion of the Phase 1b/2 trial evaluating BXCL701 in combination with KEYTRUDA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(pembrolizumab, a PD-1 inhibitor) for NEPC. In addition to the efficacy cohort in NEPC patients, in August 2020, we opened a separate cohort for CRPC patients who have failed taxane-based chemotherapy and up to two lines of second-generation androgen pathway blockers. Topline results from the Phase 1b portion of this trial were presented at the American Society of Clinical Oncology Genitourinary Symposium in February 2021. Interim data from the Phase 2 portion of the study were also presented at the European Society for Medical Oncology conference in September 2021. We reported updated interim data from the Phase 2 portion of this trial in NEPC and adenocarcinoma cohorts at the American Society of Clinical Oncology (“ASCO”) Genitourinary Cancers Symposium (“ASCO-GU”) in February 2022.</w:t>
      </w:r>
    </w:p>
    <w:p>
      <w:pPr>
        <w:spacing w:after="0" w:line="128" w:lineRule="exact"/>
        <w:rPr>
          <w:rFonts w:ascii="Arial" w:cs="Arial" w:eastAsia="Arial" w:hAnsi="Arial"/>
          <w:sz w:val="17"/>
          <w:szCs w:val="17"/>
          <w:color w:val="auto"/>
        </w:rPr>
      </w:pPr>
    </w:p>
    <w:p>
      <w:pPr>
        <w:ind w:left="1380" w:right="99" w:hanging="331"/>
        <w:spacing w:after="0" w:line="251" w:lineRule="auto"/>
        <w:tabs>
          <w:tab w:leader="none" w:pos="138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Basket Trial. </w:t>
      </w:r>
      <w:r>
        <w:rPr>
          <w:rFonts w:ascii="Arial" w:cs="Arial" w:eastAsia="Arial" w:hAnsi="Arial"/>
          <w:sz w:val="17"/>
          <w:szCs w:val="17"/>
          <w:color w:val="auto"/>
        </w:rPr>
        <w:t>BXCL701 is being evaluated in an open-label Phase 2 basket trial led by MD Anderson.</w:t>
      </w:r>
      <w:r>
        <w:rPr>
          <w:rFonts w:ascii="Arial" w:cs="Arial" w:eastAsia="Arial" w:hAnsi="Arial"/>
          <w:sz w:val="17"/>
          <w:szCs w:val="17"/>
          <w:b w:val="1"/>
          <w:bCs w:val="1"/>
          <w:color w:val="auto"/>
        </w:rPr>
        <w:t xml:space="preserve"> </w:t>
      </w:r>
      <w:r>
        <w:rPr>
          <w:rFonts w:ascii="Arial" w:cs="Arial" w:eastAsia="Arial" w:hAnsi="Arial"/>
          <w:sz w:val="17"/>
          <w:szCs w:val="17"/>
          <w:color w:val="auto"/>
        </w:rPr>
        <w:t>The investigator led study is designed to evaluate the response rate of orally administered BXCL701, combined with Pembrolizumab (KEYTRUDA</w:t>
      </w:r>
      <w:r>
        <w:rPr>
          <w:rFonts w:ascii="Arial" w:cs="Arial" w:eastAsia="Arial" w:hAnsi="Arial"/>
          <w:sz w:val="25"/>
          <w:szCs w:val="25"/>
          <w:color w:val="auto"/>
          <w:vertAlign w:val="superscript"/>
        </w:rPr>
        <w:t>®</w:t>
      </w:r>
      <w:r>
        <w:rPr>
          <w:rFonts w:ascii="Arial" w:cs="Arial" w:eastAsia="Arial" w:hAnsi="Arial"/>
          <w:sz w:val="17"/>
          <w:szCs w:val="17"/>
          <w:color w:val="auto"/>
        </w:rPr>
        <w:t>) in patients with advanced solid cancers. The study will evaluate patients who are naïve to checkpoint therapy and those who are refractory to checkpoint therapy. Interim data were presented at the June 2021 ASCO annual meeting. In the first half of 2022, we expect to present additional interim efficacy data from the trial.</w:t>
      </w:r>
    </w:p>
    <w:p>
      <w:pPr>
        <w:spacing w:after="0" w:line="189" w:lineRule="exact"/>
        <w:rPr>
          <w:rFonts w:ascii="Arial" w:cs="Arial" w:eastAsia="Arial" w:hAnsi="Arial"/>
          <w:sz w:val="17"/>
          <w:szCs w:val="17"/>
          <w:color w:val="auto"/>
        </w:rPr>
      </w:pPr>
    </w:p>
    <w:p>
      <w:pPr>
        <w:jc w:val="both"/>
        <w:ind w:left="1380" w:right="139" w:hanging="331"/>
        <w:spacing w:after="0" w:line="266" w:lineRule="auto"/>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Potential for Expedited Review Programs. </w:t>
      </w:r>
      <w:r>
        <w:rPr>
          <w:rFonts w:ascii="Arial" w:cs="Arial" w:eastAsia="Arial" w:hAnsi="Arial"/>
          <w:sz w:val="18"/>
          <w:szCs w:val="18"/>
          <w:color w:val="auto"/>
        </w:rPr>
        <w:t>Given that these indications represent high unmet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needs with few treatment options, we intend to pursue breakthrough therapy designation and accelerated approval for NEPC.</w:t>
      </w:r>
    </w:p>
    <w:p>
      <w:pPr>
        <w:spacing w:after="0" w:line="121" w:lineRule="exact"/>
        <w:rPr>
          <w:rFonts w:ascii="Arial" w:cs="Arial" w:eastAsia="Arial" w:hAnsi="Arial"/>
          <w:sz w:val="18"/>
          <w:szCs w:val="18"/>
          <w:color w:val="auto"/>
        </w:rPr>
      </w:pPr>
    </w:p>
    <w:p>
      <w:pPr>
        <w:ind w:left="1380" w:right="79" w:hanging="331"/>
        <w:spacing w:after="0" w:line="270" w:lineRule="auto"/>
        <w:tabs>
          <w:tab w:leader="none" w:pos="138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Additional Indications. </w:t>
      </w:r>
      <w:r>
        <w:rPr>
          <w:rFonts w:ascii="Arial" w:cs="Arial" w:eastAsia="Arial" w:hAnsi="Arial"/>
          <w:sz w:val="17"/>
          <w:szCs w:val="17"/>
          <w:color w:val="auto"/>
        </w:rPr>
        <w:t>We believe BXCL701 may be active at multiple stages of the cancer immunity</w:t>
      </w:r>
      <w:r>
        <w:rPr>
          <w:rFonts w:ascii="Arial" w:cs="Arial" w:eastAsia="Arial" w:hAnsi="Arial"/>
          <w:sz w:val="17"/>
          <w:szCs w:val="17"/>
          <w:b w:val="1"/>
          <w:bCs w:val="1"/>
          <w:color w:val="auto"/>
        </w:rPr>
        <w:t xml:space="preserve"> </w:t>
      </w:r>
      <w:r>
        <w:rPr>
          <w:rFonts w:ascii="Arial" w:cs="Arial" w:eastAsia="Arial" w:hAnsi="Arial"/>
          <w:sz w:val="17"/>
          <w:szCs w:val="17"/>
          <w:color w:val="auto"/>
        </w:rPr>
        <w:t>cycle and therefore, we believe BXCL701 offers a “pipeline in a product” platform given its potential for evaluation across other cancers. BXCL701 was granted orphan drug designation for the treatment of acute myeloid leukemia in September 2019, its fourth orphan drug designation in addition to pancreatic cancer, melanoma, and soft tissue sarcoma. We believe existing preclinical (and clinical) evidence supports the combination of BXCL701 with checkpoint inhibitors and/or agents that act on “co-stimulatory” pathways within immune effector cells. Moreover, we believe agents that stimulate antibody-dependent cell mediated cytotoxicity (“ADCC”), or cell-based therapies such as chimeric antigen receptor T cell, therapy, oncolytic viruses or therapeutic vaccines all represent potential combination with BXCL701.</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Other</w:t>
      </w:r>
    </w:p>
    <w:p>
      <w:pPr>
        <w:spacing w:after="0" w:line="171" w:lineRule="exact"/>
        <w:rPr>
          <w:sz w:val="20"/>
          <w:szCs w:val="20"/>
          <w:color w:val="auto"/>
        </w:rPr>
      </w:pPr>
    </w:p>
    <w:p>
      <w:pPr>
        <w:ind w:left="780" w:right="99" w:hanging="406"/>
        <w:spacing w:after="0" w:line="289" w:lineRule="auto"/>
        <w:tabs>
          <w:tab w:leader="none" w:pos="762"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Identify biomarkers to select patients who we believe have the highest likelihood to respond to our product candidates. Predicting optimal drug responses in patients requires the identification and validation of predictive biomarkers. </w:t>
      </w:r>
      <w:r>
        <w:rPr>
          <w:rFonts w:ascii="Arial" w:cs="Arial" w:eastAsia="Arial" w:hAnsi="Arial"/>
          <w:sz w:val="17"/>
          <w:szCs w:val="17"/>
          <w:color w:val="auto"/>
        </w:rPr>
        <w:t>We believe that our ability to identify patient subsets most likely to</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80" w:right="119"/>
        <w:spacing w:after="0" w:line="255" w:lineRule="auto"/>
        <w:rPr>
          <w:sz w:val="20"/>
          <w:szCs w:val="20"/>
          <w:color w:val="auto"/>
        </w:rPr>
      </w:pPr>
      <w:r>
        <w:rPr>
          <w:rFonts w:ascii="Arial" w:cs="Arial" w:eastAsia="Arial" w:hAnsi="Arial"/>
          <w:sz w:val="18"/>
          <w:szCs w:val="18"/>
          <w:color w:val="auto"/>
        </w:rPr>
        <w:t>respond to our product candidates will increase the clinical benefit to patients and improve the probability of success of our clinical trials. The indications for our lead product candidate BXCL701 were chosen in part because they are known to overexpress dipeptidyl peptidase, or DPP 8/9, and fibroblast activation protein, or FAP. Our planned proof-of-concept clinical trial of BXCL701 will retrospectively examine biomarkers related to its molecular and cellular targets to identify those that may correlate with clinical efficacy and increase our likelihood of success.</w:t>
      </w:r>
    </w:p>
    <w:p>
      <w:pPr>
        <w:spacing w:after="0" w:line="134" w:lineRule="exact"/>
        <w:rPr>
          <w:sz w:val="20"/>
          <w:szCs w:val="20"/>
          <w:color w:val="auto"/>
        </w:rPr>
      </w:pPr>
    </w:p>
    <w:p>
      <w:pPr>
        <w:ind w:left="780" w:right="139" w:hanging="406"/>
        <w:spacing w:after="0" w:line="258" w:lineRule="auto"/>
        <w:tabs>
          <w:tab w:leader="none" w:pos="76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Maximize the commercial potential of our product candidates. </w:t>
      </w:r>
      <w:r>
        <w:rPr>
          <w:rFonts w:ascii="Arial" w:cs="Arial" w:eastAsia="Arial" w:hAnsi="Arial"/>
          <w:sz w:val="18"/>
          <w:szCs w:val="18"/>
          <w:color w:val="auto"/>
        </w:rPr>
        <w:t>We have worldwide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rights to BXCL501, BXCL502, and BXCL701. If BXCL501 and BXCL701 are approved in the United States, we are developing plans to build a specialty sales force in the United States for BXCL501 and considering other opportunities to collaborate with third parties to maximize the potential of our product candidates.</w:t>
      </w:r>
    </w:p>
    <w:p>
      <w:pPr>
        <w:spacing w:after="0" w:line="129" w:lineRule="exact"/>
        <w:rPr>
          <w:rFonts w:ascii="Arial" w:cs="Arial" w:eastAsia="Arial" w:hAnsi="Arial"/>
          <w:sz w:val="18"/>
          <w:szCs w:val="18"/>
          <w:color w:val="auto"/>
        </w:rPr>
      </w:pPr>
    </w:p>
    <w:p>
      <w:pPr>
        <w:ind w:left="780" w:right="179" w:hanging="406"/>
        <w:spacing w:after="0" w:line="292" w:lineRule="auto"/>
        <w:tabs>
          <w:tab w:leader="none" w:pos="766"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Enhance our R&amp;D pipeline by leveraging our therapeutic area expertise with our growing internal capabilities to identify, develop and commercialize new product candidates in neuroscience and immune oncology.</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our leading clinical programs and our emerging and future pipeline, we have identified</w:t>
      </w:r>
      <w:r>
        <w:rPr>
          <w:rFonts w:ascii="Arial" w:cs="Arial" w:eastAsia="Arial" w:hAnsi="Arial"/>
          <w:sz w:val="16"/>
          <w:szCs w:val="16"/>
          <w:b w:val="1"/>
          <w:bCs w:val="1"/>
          <w:color w:val="auto"/>
        </w:rPr>
        <w:t xml:space="preserve"> </w:t>
      </w:r>
      <w:r>
        <w:rPr>
          <w:rFonts w:ascii="Arial" w:cs="Arial" w:eastAsia="Arial" w:hAnsi="Arial"/>
          <w:sz w:val="16"/>
          <w:szCs w:val="16"/>
          <w:color w:val="auto"/>
        </w:rPr>
        <w:t>several potential product candidates and intend to select our next clinical program from among such candidates. We have established translational and development expertise, which we believe will help us advance the present and future product candidates in these fields. We may also opportunistically in-license additional product candidates identified through our AI platform approach within our core areas of expertise.</w:t>
      </w:r>
    </w:p>
    <w:p>
      <w:pPr>
        <w:spacing w:after="0" w:line="3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Novel Drug Re-Innovation Approach</w:t>
      </w:r>
    </w:p>
    <w:p>
      <w:pPr>
        <w:spacing w:after="0" w:line="229"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We aim to develop and implement holistically throughout the drug development process an artificial intelligence (“AI”) eco system designed to rapidly identify drugs that engage novel targets related to our key focus areas in neuroscience and immuno-oncolgy. Our in-house, uniquely integrated AI -to -drug -development capability is complemented by BioXcel LLC’s services and technology. For example, we have constructed a labeled properties graph (also referred to as a “knowledge graph”) that visually relates neuropsychiatric symptoms, brain circuits, drug targets and existing drugs. By making these connections, new potential uses for existing drugs emerge. The knowledge graph may be queried to uncover not only single drugs but potentially new combinations of drugs that we believe may be more effective in treating disorders than single agents. New combinations of drugs provide the opportunity to evaluate lower, potentially tolerable doses of drugs and also provide the basis for stronger intellectual property positions. The AI team works closely with business development to prioritize the most valuable external opportunities in a data-driven manner. These opportunities may be found in new potential uses for launched drugs, in drugs that are part of pharmaceutical company pipelines that are no longer being pursued, or within academic efforts to develop new drug candidates.</w:t>
      </w:r>
    </w:p>
    <w:p>
      <w:pPr>
        <w:spacing w:after="0" w:line="168"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In addition to our AI approach to neuropsychiatric symptoms and neurological rare diseases, in oncology we are actively examining signaling pathways in tumors that we believe are potential targets for synergistic drug combinations . We believe synergistic drug combinations may allow more effective treatments by reducing the probability of drug adaptation by cancer cells. AI is useful in matching existing oncology drugs and their mechanism of action to specific types of cancer as well as identifying combinations that we believe may have a higher probability of success.</w:t>
      </w:r>
    </w:p>
    <w:p>
      <w:pPr>
        <w:spacing w:after="0" w:line="161"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Traditional drug development is plagued with low success rates (13.8%, according to an MIT study of 186,000 trials from January 2000 to October 2015), long drug development cycles (10-15 years, according to PhRMA Key Facts 2016), and exorbitant development costs ($2.6 billion per drug, according to PhRMA Key Facts). Furthermore, many serious diseases continue to go unaddressed due to limitations of the current drug discovery paradigm. The pharmacological space spans more than 27,000 active pharmaceutical agents, and only approximately 4,000 are approved and marketed drugs benefiting patients. These marketed drugs may be applied to other indications, including rare diseases, and represent an untapped potential for meeting significant unmet medical need and recoupment of research and development investments. Many of the remaining agents are clinical candidates that are active, shelved, or have failed for reasons other than toxicity and that can potentially be re-engineered for different indications or patient segments. They potentially represent an unrealized investment of billions of research and development dollars by the private and public sectors, resulting in an immeasurable amount of patient suffering and sacrificing during clinical development. Also, these compounds usually have known pharmacokinetic properties allowing for a more data-driven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selection of appropriate doses for development programs. Finally, with respect to neuropsychiatric indications, we prioritize those compounds with structural design features that may contribute to high blood-brain barrier permeability, which may increase the likelihood of compound penetration into the brain. Lack of brain penetration is a common cause for failure of many drugs developed for neuropsychiatric indications. In addition, BioXcel is prioritizing compounds with available human safety data, acceptable pharmacokinetic results, and data that supports a high probability of achieving reasonable brain concentrations after dosing. The compounds in our pipeline have been identified using this proprietary platform.</w:t>
      </w:r>
    </w:p>
    <w:p>
      <w:pPr>
        <w:spacing w:after="0" w:line="195" w:lineRule="exact"/>
        <w:rPr>
          <w:sz w:val="20"/>
          <w:szCs w:val="20"/>
          <w:color w:val="auto"/>
        </w:rPr>
      </w:pPr>
    </w:p>
    <w:p>
      <w:pPr>
        <w:ind w:left="60" w:right="299" w:firstLine="324"/>
        <w:spacing w:after="0" w:line="270" w:lineRule="auto"/>
        <w:rPr>
          <w:sz w:val="20"/>
          <w:szCs w:val="20"/>
          <w:color w:val="auto"/>
        </w:rPr>
      </w:pPr>
      <w:r>
        <w:rPr>
          <w:rFonts w:ascii="Arial" w:cs="Arial" w:eastAsia="Arial" w:hAnsi="Arial"/>
          <w:sz w:val="16"/>
          <w:szCs w:val="16"/>
          <w:color w:val="auto"/>
        </w:rPr>
        <w:t>This drug re-innovation model has been exemplified by the successful development and commercialization of drugs such as Tecfidera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(Biogen, Inc.), Thalomid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(Celgene Corporation) and Viagra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(Pfizer, Inc.). All of these drugs were identified by insights in biology and disease pathophysiology. The successful business models of biotech companies like Axsome-Therapeutics, Inc. and Karuna Therapeutics, Inc. are based on the re-innovation and combination of existing clinical candidates or marketed drugs to provide novel solutions for patients. Unfortunately, such discoveries have been severely limited in scope due to the lack of a genuinely integrated approach of mining big data and advanced analytics.</w:t>
      </w:r>
    </w:p>
    <w:p>
      <w:pPr>
        <w:spacing w:after="0" w:line="180"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AI-based discovery and development process is the foundation of our drug re-innovation model for identifying the next wave of potential medicines. Our therapeutic area experts have over 200 years of combined experience across the drug discovery and development value chain. We believe that our method of finding potential product candidates gives us a higher probability of success because it combines the comprehensiveness and efficiency of machine learning and big data analytics with the expertise and intuition of human experience in drug development. We believe the combination of AI and drug discovery and development expertise facilitates the generation of therapeutic candidates and gives us a significant competitive advantage.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151765</wp:posOffset>
            </wp:positionV>
            <wp:extent cx="5486400" cy="3086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64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00" w:right="239" w:firstLine="243"/>
        <w:spacing w:after="0" w:line="279" w:lineRule="auto"/>
        <w:rPr>
          <w:sz w:val="20"/>
          <w:szCs w:val="20"/>
          <w:color w:val="auto"/>
        </w:rPr>
      </w:pPr>
      <w:r>
        <w:rPr>
          <w:rFonts w:ascii="Arial" w:cs="Arial" w:eastAsia="Arial" w:hAnsi="Arial"/>
          <w:sz w:val="17"/>
          <w:szCs w:val="17"/>
          <w:color w:val="auto"/>
        </w:rPr>
        <w:t>We continue to integrate and evolve our neuroscience and immuno-oncology AI machine learning and drug discovery and development platform. Our platform has led to the identification and rapid development of BXCL501, leading to the submission of our first NDA as well as the advancement of other potential indications. We are continuing to leverage our platform to identify and develop new neuroscience and immuno-oncology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BXCL501 Neuroscience Program</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00" w:right="79" w:firstLine="324"/>
        <w:spacing w:after="0" w:line="268" w:lineRule="auto"/>
        <w:rPr>
          <w:sz w:val="20"/>
          <w:szCs w:val="20"/>
          <w:color w:val="auto"/>
        </w:rPr>
      </w:pPr>
      <w:r>
        <w:rPr>
          <w:rFonts w:ascii="Arial" w:cs="Arial" w:eastAsia="Arial" w:hAnsi="Arial"/>
          <w:sz w:val="17"/>
          <w:szCs w:val="17"/>
          <w:color w:val="auto"/>
        </w:rPr>
        <w:t>BXCL501 is an investigational, proprietary, orally dissolving, thin film formulation of dexmedetomidine (Dex), a selective alpha-2 receptor agonist, targeting symptoms from stress-related behaviors such as agitation and opioid withdrawal symptoms. BXCL501 is our most advanced neuroscience clinical program, currently being developed for the acute treatment of agitation related to schizophrenia, bipolar disorders, dementia (Alzheimer’s disease) and delirium, the symptoms associated with opioid withdrawal as well as for the adjunctive treatment of MDD in conjunction with the use of SSRIs or SNRIs. As a selective adrenergic agent with a sublingual or buccal route of administration, BXCL501 is designed to be easy to administer and has shown a rapid onset of action in multiple clinical trials, including clinical trials studying patients with schizophrenia, bipolar disorders, and dementia. We believe the results from these studies suggest that BXCL501 has the potential to generate a calming effect without producing excessive sedation. We believe that BXCL501 is highly differentiated from antipsychotics currently used as a standard of care for the treatment of agitation, which often produce unwanted side effects such as excessive sedation and extra-pyramidal motor effects. Managing patient agitation in neuropsychiatric and neurodegenerative disorders represents a significant challenge for physicians and caregivers. We believe that BXCL501 has the potential to address these challenges while providing an efficient treatment regimen for patients.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Agitation Overview and Market Opportunity</w:t>
      </w:r>
    </w:p>
    <w:p>
      <w:pPr>
        <w:spacing w:after="0" w:line="225" w:lineRule="exact"/>
        <w:rPr>
          <w:sz w:val="20"/>
          <w:szCs w:val="20"/>
          <w:color w:val="auto"/>
        </w:rPr>
      </w:pPr>
    </w:p>
    <w:p>
      <w:pPr>
        <w:ind w:left="100" w:right="139" w:firstLine="324"/>
        <w:spacing w:after="0" w:line="254" w:lineRule="auto"/>
        <w:rPr>
          <w:sz w:val="20"/>
          <w:szCs w:val="20"/>
          <w:color w:val="auto"/>
        </w:rPr>
      </w:pPr>
      <w:r>
        <w:rPr>
          <w:rFonts w:ascii="Arial" w:cs="Arial" w:eastAsia="Arial" w:hAnsi="Arial"/>
          <w:sz w:val="18"/>
          <w:szCs w:val="18"/>
          <w:color w:val="auto"/>
        </w:rPr>
        <w:t>Agitation in patients with neuropsychiatric diseases (psychomotor agitation) is a serious medical condition. Agitation is characterized by feelings of unease, excessive talking and/or unintentional and purposeless motions, such as wringing of the hands or pacing. People experiencing agitation may also express excitement, hostility, poor impulse control, tension, uncooperativeness, and sometimes disruptive behavior, which may lead to aggression and violence. In many cases, people develop agitation when treatment for their underlying disorder is not working well. Stressful situations or traumatic events can also trigger agitation. Agitation can occur suddenly or slowly and vary in length, lasting for a few minutes or for an extended period of time.</w:t>
      </w:r>
    </w:p>
    <w:p>
      <w:pPr>
        <w:spacing w:after="0" w:line="195" w:lineRule="exact"/>
        <w:rPr>
          <w:sz w:val="20"/>
          <w:szCs w:val="20"/>
          <w:color w:val="auto"/>
        </w:rPr>
      </w:pPr>
    </w:p>
    <w:p>
      <w:pPr>
        <w:ind w:left="100" w:right="239" w:firstLine="324"/>
        <w:spacing w:after="0" w:line="257" w:lineRule="auto"/>
        <w:rPr>
          <w:sz w:val="20"/>
          <w:szCs w:val="20"/>
          <w:color w:val="auto"/>
        </w:rPr>
      </w:pPr>
      <w:r>
        <w:rPr>
          <w:rFonts w:ascii="Arial" w:cs="Arial" w:eastAsia="Arial" w:hAnsi="Arial"/>
          <w:sz w:val="18"/>
          <w:szCs w:val="18"/>
          <w:color w:val="auto"/>
        </w:rPr>
        <w:t>With the agitation issues associated with schizophrenia and bipolar disease coupled with a fast growing elderly population who are potentially likely to experience agitation associated with Alzheimer’s disease, the difficulties and expenses of acute treatment of agitation are expected to grow significantly. Based on our market research, estimates indicate that by 2031 drugs for mental disorders could be up to $59 billion. Below are estimated statistics associated with these indications.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59"/>
          </w:cols>
          <w:pgMar w:left="140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83250" cy="3197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325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Treatments for Agitation</w:t>
      </w:r>
    </w:p>
    <w:p>
      <w:pPr>
        <w:spacing w:after="0" w:line="229"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Antipsychotics, the current standard of care for acute treatment of agitation in schizophrenia and bipolar disorder, are also used off-label to treat agitation in dementia and other conditions. Side effects of these medications include movement disorders, including akathisia and extrapyramidal symptoms. One of the serious limitations of these drugs is that they can sedate the patient and do not permit verbal interaction with the hospital staff to continue. Intramuscular (“IM”) delivered antipsychotics, such as haloperidol and olanzapine, are used extensively in this setting but are invasive and often require patient restraint. This type of treatment dehumanizes patients and can cause trauma that could have long-term impact on the patient. Furthermore, these treatments include a black box warning for use in elderly patients.</w:t>
      </w:r>
    </w:p>
    <w:p>
      <w:pPr>
        <w:spacing w:after="0" w:line="166"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While sublingual tablet formulations utilizing antipsychotics have been developed, these formulations have long half-lives (21-24 hours) and significant side effects when given acutely or chronically. Oral agents such as benzodiazepines are also used but have a slow onset of action and are consequently ineffective in the acute treatment of agitation. Side effects of these agents include sedation, amnesia, confusion, and paradoxical responses. They can intensify cognitive slowing and worsen memory and motor impairment can contribute to an increased risk of falls and fractures. In addition, long-term use of benzodiazepines has been found to be habit-forming and can cause addiction or relapse to abuse substances. Non-adherence with oral agents can also be problematic as patients may attempt to spit out these medications. We believe that based on the current method of administration of oral medicine for agitation, the orally-dissolving, mucoadhesive thin film offers compliance advantages as it will prevent patients from avoiding treatment.</w:t>
      </w:r>
    </w:p>
    <w:p>
      <w:pPr>
        <w:spacing w:after="0" w:line="166" w:lineRule="exact"/>
        <w:rPr>
          <w:sz w:val="20"/>
          <w:szCs w:val="20"/>
          <w:color w:val="auto"/>
        </w:rPr>
      </w:pPr>
    </w:p>
    <w:p>
      <w:pPr>
        <w:ind w:left="60" w:right="359" w:firstLine="324"/>
        <w:spacing w:after="0" w:line="233" w:lineRule="auto"/>
        <w:rPr>
          <w:sz w:val="20"/>
          <w:szCs w:val="20"/>
          <w:color w:val="auto"/>
        </w:rPr>
      </w:pPr>
      <w:r>
        <w:rPr>
          <w:rFonts w:ascii="Arial" w:cs="Arial" w:eastAsia="Arial" w:hAnsi="Arial"/>
          <w:sz w:val="18"/>
          <w:szCs w:val="18"/>
          <w:color w:val="auto"/>
        </w:rPr>
        <w:t>There is precedent for FDA approval of a non-invasive therapy for the acute treatment of agitation. In 2012, Adasuve</w:t>
      </w:r>
      <w:r>
        <w:rPr>
          <w:rFonts w:ascii="Arial" w:cs="Arial" w:eastAsia="Arial" w:hAnsi="Arial"/>
          <w:sz w:val="26"/>
          <w:szCs w:val="26"/>
          <w:color w:val="auto"/>
          <w:vertAlign w:val="superscript"/>
        </w:rPr>
        <w:t>®</w:t>
      </w:r>
      <w:r>
        <w:rPr>
          <w:rFonts w:ascii="Arial" w:cs="Arial" w:eastAsia="Arial" w:hAnsi="Arial"/>
          <w:sz w:val="18"/>
          <w:szCs w:val="18"/>
          <w:color w:val="auto"/>
        </w:rPr>
        <w:t>, an inhaled version of the antipsychotic loxapine, became the first approved non-invasive acute treatment for agitation in patients with schizophrenia and bipolar 1 disorder. The use of Adasuve has been limited due to a risk management program and the risk of bronchospasm. Adasuve also has a high incidence of side effects. Upon launch, Adasuve was priced at $145 per dose.</w:t>
      </w:r>
    </w:p>
    <w:p>
      <w:pPr>
        <w:spacing w:after="0" w:line="202"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The sublingual or buccal route of administration is an accepted alternative to oral administration of drug delivery to the central nervous system, or CNS, when rapid onset or more controlled delivery is required. Currently, there are six products that are approved for thin-film administration. For example, BioDelivery Sciences International, Inc.,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commercial-stage specialty pharmaceutical company dedicated to patients living with chronic conditions, has developed a buccal film formulation of buprenorphine for chronic pain management and buprenorphine and naloxone for opioid dependence. We have developed BXCL501 as a differentiated sublingual thin film dosage form of Dex, which we believe, if approved, may offer benefits such as ease of use and quick absorption for rapid therapeutic effects.</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Mechanism of Action: α</w:t>
      </w:r>
      <w:r>
        <w:rPr>
          <w:rFonts w:ascii="Arial" w:cs="Arial" w:eastAsia="Arial" w:hAnsi="Arial"/>
          <w:sz w:val="26"/>
          <w:szCs w:val="26"/>
          <w:b w:val="1"/>
          <w:bCs w:val="1"/>
          <w:color w:val="auto"/>
          <w:vertAlign w:val="subscript"/>
        </w:rPr>
        <w:t>2a</w:t>
      </w:r>
      <w:r>
        <w:rPr>
          <w:rFonts w:ascii="Arial" w:cs="Arial" w:eastAsia="Arial" w:hAnsi="Arial"/>
          <w:sz w:val="18"/>
          <w:szCs w:val="18"/>
          <w:b w:val="1"/>
          <w:bCs w:val="1"/>
          <w:color w:val="auto"/>
        </w:rPr>
        <w:t xml:space="preserve"> Adrenergic Receptor and NE Role in Acute Agitation</w:t>
      </w:r>
    </w:p>
    <w:p>
      <w:pPr>
        <w:spacing w:after="0" w:line="244"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BXCL501 is designed to be easily administered and to have a rapid onset of action. We believe that BXCL501, with its differentiated pharmacology and ease of administration, if approved, could potentially be a first in class, non-invasive acute treatment for agitation that can be rapidly administered by physicians and caregivers. Dex is approved in the United States for the sedation of initially intubated and mechanically ventilated patients during treatment in the intensive care unit (“ICU”). It is also used in the intensive care setting for sedation of non-intubated patients prior to and/or during surgical and other invasive procedures. Dex, launched in the United States as Precedex™ in 1999, is a selective α2a adrenergic receptor agonist that has a strong safety record and has been studied in over 130 clinical trials to date. It has also been sold in the European Union and other countries under the trade name Dexdor® as a sedative for intensive care patients. Dex was approved by the European Commission for sedation of adult ICU patients requiring a sedation level no deeper than arousal in response to verbal stimulation (corresponding to Richmond Agitation-Sedation Scale (“RASS”) 0 to -3). It has been used to prevent or treat hyperactive delirium resulting from anesthesia in the ICU. Given these uses of the IV formulation of Dex, we believe Dex formulated in a sublingual thin film and at much lower doses will allow for ease of administration in settings where rapid acute treatment of agitation is needed.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BXCL501 Clinical Trials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SERENITY I and SERENITY II</w:t>
      </w:r>
    </w:p>
    <w:p>
      <w:pPr>
        <w:spacing w:after="0" w:line="225" w:lineRule="exact"/>
        <w:rPr>
          <w:sz w:val="20"/>
          <w:szCs w:val="20"/>
          <w:color w:val="auto"/>
        </w:rPr>
      </w:pPr>
    </w:p>
    <w:p>
      <w:pPr>
        <w:ind w:left="60" w:right="219" w:firstLine="324"/>
        <w:spacing w:after="0" w:line="288" w:lineRule="auto"/>
        <w:rPr>
          <w:sz w:val="20"/>
          <w:szCs w:val="20"/>
          <w:color w:val="auto"/>
        </w:rPr>
      </w:pPr>
      <w:r>
        <w:rPr>
          <w:rFonts w:ascii="Arial" w:cs="Arial" w:eastAsia="Arial" w:hAnsi="Arial"/>
          <w:sz w:val="16"/>
          <w:szCs w:val="16"/>
          <w:color w:val="auto"/>
        </w:rPr>
        <w:t>In July 2020, we announced topline results from the SERENITY I and II pivotal trials, which showed that treatment with BXCL501 was well-tolerated and resulted in clinically meaningful reductions in agitation in schizophrenia and bipolar disorder I and II patients. In October 2020, we held a pre NDA meeting with the U.S. Food and Drug Administration (“FDA”) to discuss the content and format of our anticipated NDA submission. The FDA also agreed to a rolling review of our NDA, allowing us to submit completed sections of the application early. On March 5, 2021, we completed the rolling submission of our NDA to the FDA. In May 2021, we announced the FDA had notified us that our NDA submission was accepted for filing. The FDA assigned a PDUFA goal date of January 5, 2022. In December 2021, we announced the extension of the FDA review period of our NDA to April 5, 2022. We also have plans underway to submit a Marketing Authorization Application (“MAA”) to the European Medicines Agency (“EMA”) for BXCL501 for the acute treatment of agitation associated with schizophrenia and bipolar disorders I &amp; II in the first half of 2022.</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TRANQUILITY and TRANQUILITY II and III</w:t>
      </w:r>
    </w:p>
    <w:p>
      <w:pPr>
        <w:spacing w:after="0" w:line="22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In January 2021, we announced topline results from the TRANQUILITY trial, a Phase 1b/2 randomized, placebo-controlled, adaptive ascending dose-finding study that enrolled 54 patients with agitation related in dementia., including Alzheimer's disease. Patients received BXCL501 at either 30mcg (n=16), 60mcg (n=20), 90 mcg (n=4) or placebo (n=14). Overall, BXCL501 was well tolerated and demonstrated statistically significant, clinically meaningful, rapid, and durable reductions in agitation with the 60 mcg dose as measured by multiple rating scales.</w:t>
      </w:r>
    </w:p>
    <w:p>
      <w:pPr>
        <w:spacing w:after="0" w:line="176"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The trial’s primary endpoint was to evaluate safety and tolerability in elderly demented patients experiencing an acute episode of agitation. During the study, BXCL501 was well-tolerated and no severe or serious adverse events were reported. The most common adverse event was somnolence characterized as either mild (55% for 60 mcg, 50% for 30 mcg and 7.1% for placebo) or moderate (5% for 60 mcg and 0% for both 30 mcg and placebo), followed by hypotension (10%, 0%, 0%), orthostatic hypotension (5%, 6.3%, 0%) and dizziness (5%, 6.3% and 0%). There were no reported cases of syncope or falls in any of the patients studied. For the same dose, higher exposure levels of BXCL501 were observed in this elderly patient population compared to earlier trials in younger patient populations.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trial met its secondary efficacy endpoints with the 60 mcg dose compared to placebo in all three agitation scales: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Positive and Negative Syndrome Scale-Excitatory Component Score (“PEC” or “PANSS-EC”) the Pittsburgh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57" w:lineRule="auto"/>
        <w:rPr>
          <w:sz w:val="20"/>
          <w:szCs w:val="20"/>
          <w:color w:val="auto"/>
        </w:rPr>
      </w:pPr>
      <w:r>
        <w:rPr>
          <w:rFonts w:ascii="Arial" w:cs="Arial" w:eastAsia="Arial" w:hAnsi="Arial"/>
          <w:sz w:val="18"/>
          <w:szCs w:val="18"/>
          <w:color w:val="auto"/>
        </w:rPr>
        <w:t>Agitation Scale (“PAS”), and the Modified Cohen -Mansfield Inventory (“Mod-CMAI”). Treatment with BXCL501 demonstrated statistically significant and clinically meaningful reductions in total scores at two hours post-dosing (PEC p=0.0011; PAS p&lt;0.0001; Mod-CMAI p&lt;0.001; PEC response rate = 70%), numerical separation from placebo in PEC total score as early as 30 minutes with statistically significant reductions on both PEC and PAS at 60 minutes lasting 8 hours after treatment.</w:t>
      </w:r>
    </w:p>
    <w:p>
      <w:pPr>
        <w:spacing w:after="0" w:line="188"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Additional statistically significant reductions with the 60 mcg dose compared to placebo at the 2 hours post-dosing were observed with the Agitation and Calmness Scale (“ACES”) (ACES p=0.0006) and Clinical Global Impression-Improvement Scale (CGI p&lt;0.0001, 90% responder rate).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30 mcg dose cohort showed numerical improvements across all scales.</w:t>
      </w:r>
    </w:p>
    <w:p>
      <w:pPr>
        <w:spacing w:after="0" w:line="225"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On March 3, 2021, we announced that following a routine quality control review of the Company’s TRANQUILITY study data, the Company discovered that two patients dose assignments were mis-categorized within the 30 mcg cohort at the clinical site. After moving the two patients data into their appropriate placebo and 30 mcg treatment groups, the data from the 30 mcg cohort were re-analyzed, resulting in the 30 mcg dose crossing over to statistical significance at the two hour time point, as measured by PEC: p=0.0149; PAS: p=0.0195; and Mod-CMAI: p=0.0364.</w:t>
      </w:r>
    </w:p>
    <w:p>
      <w:pPr>
        <w:spacing w:after="0" w:line="161"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The Company also announced that it extended the TRANQUILITY I trial to initiate a 46 patient (1:1 randomization) multicenter, double-blind placebo-controlled expansion study investigating a 40 mcg dose cohort of BXCL501. Pharmacokinetics and pharmacodynamics modeling of BXCL501 data from the TRANQUILITY trial was supportive of evaluating the efficacy of a 40 mcg dose. Results of this expansion are expected to provide additional insights to support the Company’s clinical development strategy directed at all segments of the dementia market.</w:t>
      </w:r>
    </w:p>
    <w:p>
      <w:pPr>
        <w:spacing w:after="0" w:line="176"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On March 15, 2021 we announced that BXCL501 was granted Breakthrough Therapy designation from the FDA for the acute treatment of agitation associated with dementia. This designation is intended to expedite the development and review of certain product candidates designed to treat serious or life-threatening diseases or conditions, and the designation enables increased interaction and guidance from the FDA.</w:t>
      </w:r>
    </w:p>
    <w:p>
      <w:pPr>
        <w:spacing w:after="0" w:line="18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On December 15, 2021, after our initial Breakthrough Therapy designation meetings with FDA, we announced the initiation of our program to evaluate BXCL501 for the treatment of acute agitation associated with dementia in Alzheimer’s patients. The program’s two studies, TRANQUILITY II and TRANQUILITY III, are designed to evaluate the safety and efficacy of BXCL501 in adults 65 years and older across the range of illness including mild, moderate and severe illness in assisted living or residential facilities and nursing homes.</w:t>
      </w:r>
    </w:p>
    <w:p>
      <w:pPr>
        <w:spacing w:after="0" w:line="188" w:lineRule="exact"/>
        <w:rPr>
          <w:sz w:val="20"/>
          <w:szCs w:val="20"/>
          <w:color w:val="auto"/>
        </w:rPr>
      </w:pPr>
    </w:p>
    <w:p>
      <w:pPr>
        <w:ind w:left="700" w:right="379" w:hanging="32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program will consist of two randomized, double-blind placebo-controlled, adaptive, parallel group pivotal trials, TRANQUILITY II and TRANQUILITY III.</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study will enroll 150 dementia patients 65 years and older. Patients will self-administer 40 mcg or 60 mcg of BXCL501 or placebo whenever agitation episodes may occur over a three-month period.</w:t>
      </w:r>
    </w:p>
    <w:p>
      <w:pPr>
        <w:spacing w:after="0" w:line="170" w:lineRule="exact"/>
        <w:rPr>
          <w:rFonts w:ascii="Arial" w:cs="Arial" w:eastAsia="Arial" w:hAnsi="Arial"/>
          <w:sz w:val="18"/>
          <w:szCs w:val="18"/>
          <w:color w:val="auto"/>
        </w:rPr>
      </w:pPr>
    </w:p>
    <w:p>
      <w:pPr>
        <w:ind w:left="700" w:right="139" w:hanging="32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TRANQUILITY II will enroll patients with mild to moderately severe dementia in assisted living or residential facilities who generally require minimal assistance with activities of daily living. TRANQUILITY III will enroll patients in nursing homes with moderate to severe dementia who require moderate or greater assistance with their activities of daily living.</w:t>
      </w:r>
    </w:p>
    <w:p>
      <w:pPr>
        <w:spacing w:after="0" w:line="186"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studies are designed to assess agitation as measured by the changes from baseline in the PEC and PAS total scores. The primary efficacy endpoint for both studies will be the change in PEC total score from baseline measured at two hours after the initial dose and subsequent doses.</w:t>
      </w:r>
    </w:p>
    <w:p>
      <w:pPr>
        <w:spacing w:after="0" w:line="183" w:lineRule="exact"/>
        <w:rPr>
          <w:rFonts w:ascii="Arial" w:cs="Arial" w:eastAsia="Arial" w:hAnsi="Arial"/>
          <w:sz w:val="18"/>
          <w:szCs w:val="18"/>
          <w:color w:val="auto"/>
        </w:rPr>
      </w:pPr>
    </w:p>
    <w:p>
      <w:pPr>
        <w:ind w:left="700" w:right="279" w:hanging="326"/>
        <w:spacing w:after="0" w:line="308"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Patients who complete TRANQUILITY II or TRANQUILITY III will be eligible to enroll in an open label, 52-week safety study designed to describe the safety and efficacy of BXCL501 in continued use.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RELEASE</w:t>
      </w:r>
    </w:p>
    <w:p>
      <w:pPr>
        <w:spacing w:after="0" w:line="225"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RELEASE trial was a multicenter, randomized, double-blind, placebo-controlled, ascending dose Phase 1b/2 trial designed to evaluate the safety, pharmacokinetics, tolerability, and efficacy of BXCL501 administered twice daily for 7 days in patients experiencing symptoms of opioid withdrawal.</w:t>
      </w:r>
    </w:p>
    <w:p>
      <w:pPr>
        <w:spacing w:after="0" w:line="184"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In March 2021, we announced RELEASE top line results. The trial’s primary objective was to evaluate safety and tolerability of twice daily dosing of BXCL501 for 1 week. BXCL501 was well tolerated, with no severe or serious adverse events reported across all doses evaluated.</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With respect to retention, a secondary endpoint, the study showed that patients in multiple dose cohorts treated with BXCL501 had numerical improvements in retention rates, a key goal of opioid withdrawal treatment, compared to placebo. The 120 mcg and 180 mcg dose groups showed 42% and 52% rates of retention at day 6 of BXCL501 treatment, respectively, versus 24% for placebo, though these differences were not statistically significant. However, the results also showed that, of the 87% of patients who had fentanyl in their systems upon entry, with greater than 50% remaining fentanyl positive following the morphine stabilization phase of 5 days. Consequently, withdrawal symptoms were not equivalent across various dose cohorts, suggesting that morphine did not stabilize or ‘normalize’ withdrawal symptoms in these patients. Efficacy measures, including assessment of patients’ symptoms of acute opioid withdrawal following the morphine maintenance phase with the Clinical Opiate Withdrawal Scale (“COWS”) and the Short Opiate Withdrawal Scale of Gossop (“SOWS-Gossop”) were secondary objectives of the trial. Improvements were not observed in SOWS-Gossop”) or COWS total scores in the BXCL501 treatment arms compared to placebo. The Company believes that the high prevalence of fentanyl, and its extended washout may have contributed to the lack of normalization of withdrawal during morphine maintenance could have confounded results and made them difficult to interpret.</w:t>
      </w:r>
    </w:p>
    <w:p>
      <w:pPr>
        <w:spacing w:after="0" w:line="174"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We believe the favorable tolerability results observed in multiple dose regimens within the RELEASE trial provides valuable insights that support investigation across additional indications and treatment settings.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PLACIDITY</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In October 2020, we announced that we had received authorization to proceed under our Investigational New Drug (“IND”) application from the FDA for treatment of patients with agitation associated with delirium in intensive care units, including patients with COVID-19 and on February 25, 2021, we announced the initiation of the Phase 2 PLACIDITY trial of BXCL501. This program is intended to provide a potential synergy with the medical and commercial infrastructure being developed to support our first two indications.</w:t>
      </w:r>
    </w:p>
    <w:p>
      <w:pPr>
        <w:spacing w:after="0" w:line="188"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The PLACIDITY trial is a multicenter, randomized, double-blind, placebo-controlled, ascending dose-finding, adaptive Phase 2 study designed to evaluate the safety, efficacy, and pharmacokinetics of BXCL501 in intensive care unit adult patients experiencing delirium related agitation, including COVID-19 patients. Approximately 20 patients will be randomized into each sequential ascending dose cohort of BXCL501 (starting doses of 120 ug, 180 ug, 240 ug, or 300 ug), or matching placebos to determine an optimal starting dose that could effectively and safely reduce agitation. Elderly delirium patients (65 years or older) in these cohorts will receive half the dose. The primary endpoint is the reduction in agitation measured by at least a 2-point drop in the Richmond Agitation Sedation Scale (“RASS”) at two hours post BXCL501 administration. The secondary endpoint is the earliest time at which a 2-point drop is seen in RASS after BXCL501 administration. An exploratory endpoint of this trial will be to determine the overall clinical improvement after drug administration using the Clinical Global Impression – Improvement Scale (“CGI-I”).</w:t>
      </w:r>
    </w:p>
    <w:p>
      <w:pPr>
        <w:spacing w:after="0" w:line="168"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Agitation associated with delirium is a serious condition that affects patients in many hospital settings: ICUs, surgical &amp; medical wards, and emergency departments. Currently, there are no FDA-approved medications for delirium or agitation associated with delirium.</w:t>
      </w:r>
    </w:p>
    <w:p>
      <w:pPr>
        <w:spacing w:after="0" w:line="184" w:lineRule="exact"/>
        <w:rPr>
          <w:sz w:val="20"/>
          <w:szCs w:val="20"/>
          <w:color w:val="auto"/>
        </w:rPr>
      </w:pPr>
    </w:p>
    <w:p>
      <w:pPr>
        <w:jc w:val="both"/>
        <w:ind w:left="60" w:right="619" w:firstLine="648"/>
        <w:spacing w:after="0" w:line="263" w:lineRule="auto"/>
        <w:rPr>
          <w:sz w:val="20"/>
          <w:szCs w:val="20"/>
          <w:color w:val="auto"/>
        </w:rPr>
      </w:pPr>
      <w:r>
        <w:rPr>
          <w:rFonts w:ascii="Arial" w:cs="Arial" w:eastAsia="Arial" w:hAnsi="Arial"/>
          <w:sz w:val="18"/>
          <w:szCs w:val="18"/>
          <w:color w:val="auto"/>
        </w:rPr>
        <w:t>PLACIDITY enrollment was voluntarily paused, and continues to be paused, to assess challenges posed in opening relevant clinical sites and enrolling delirium patients in the ICU settings, including as a result of the burden COVID-19 has placed on the ICU.</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The Company and its collaborators, the VA Connecticut Healthcare System and the Yale University Medical School, are evaluating BXCL501 in patients suffering from PTSD related to alcohol and substance abuse disorder (“ASUD”). Yale University Medical School was awarded a grant by the U.S. Department of Defense’s (“DOD”) Congressionally Directed Medical Research Programs (“CDMRP”). The Company is investigating BXCL501 as a potential chronic treatment for patients with these conditions.</w:t>
      </w:r>
    </w:p>
    <w:p>
      <w:pPr>
        <w:spacing w:after="0" w:line="188" w:lineRule="exact"/>
        <w:rPr>
          <w:sz w:val="20"/>
          <w:szCs w:val="20"/>
          <w:color w:val="auto"/>
        </w:rPr>
      </w:pPr>
    </w:p>
    <w:p>
      <w:pPr>
        <w:jc w:val="both"/>
        <w:ind w:left="60" w:right="479" w:firstLine="324"/>
        <w:spacing w:after="0" w:line="311" w:lineRule="auto"/>
        <w:rPr>
          <w:sz w:val="20"/>
          <w:szCs w:val="20"/>
          <w:color w:val="auto"/>
        </w:rPr>
      </w:pPr>
      <w:r>
        <w:rPr>
          <w:rFonts w:ascii="Arial" w:cs="Arial" w:eastAsia="Arial" w:hAnsi="Arial"/>
          <w:sz w:val="16"/>
          <w:szCs w:val="16"/>
          <w:color w:val="auto"/>
        </w:rPr>
        <w:t>Given the significant market opportunities available to us developing BXCL501 for the treatment of agitation in patients with Alzheimer’s disease and MDD, we have determined it is the best interest of all stakeholders to focus our efforts in those disease areas and have decided to de-emphasize our opioid withdrawal and delirium indications.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PEDIATRIC STUDY</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In June 2021, we initiated a global clinical trial designed to evaluate the safety and efficacy of BXCL501 in agitation associated with pediatric schizophrenia and bipolar disorder. The multisite, double-blind, placebo controlled, parallel group trial will enroll patients with schizophrenia, schizoaffective disorder, bipolar I and bipolar II disorder. Similar to the SERENITY I and II trials, the primary endpoint is the change from baseline PEC total score at 2 hours. The trial has been initiated in the U.S. and enrollment is ongoing.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Major Depressive Disorder</w:t>
      </w:r>
    </w:p>
    <w:p>
      <w:pPr>
        <w:spacing w:after="0" w:line="225"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have recently expanded our programs to evaluate BXCL501 as an adjunctive treatment for MDD. We expect that the initial clinical study in this program will be a double-blind, placebo-controlled, multiple ascending dose trial to evaluate the safety and tolerability of twice daily doses of BXCL501 in healthy volunteers. A Phase 2 proof of concept study is planned to evaluate whether daily adjunctive use of BXCL501 provides a more rapid initial clinical antidepressant response than placebo when initiating SSRI or SNRI alone. We are preparing to submit an IND to the FDA and if allowed to proceed by the FDA, expect to initiate the first clinical trial in the first half of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DPP 8/9 Inhibitor for the treatment of Castration-Resistant Prostate Cancer</w:t>
      </w:r>
    </w:p>
    <w:p>
      <w:pPr>
        <w:spacing w:after="0" w:line="229"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BXCL701 is a potential first-in-class, oral, small-molecule immunomodulator designed to stimulate both the innate and acquired immune systems by inhibiting DPP 8/9. DPP 8/9 behave as "checkpoints" of pyroptosis and inflammasome activation. We believe that BXCL701, if successfully developed and approved, may establish a differentiated immuno-oncology platform by modulating multiple steps in the cancer immunity cycle and, when combined with checkpoint inhibitors and/or immune activating agents, may be able to convert immuno-resistant (“cold”) tumors to immuno-sensitive (“hot”) tumors.</w:t>
      </w:r>
    </w:p>
    <w:p>
      <w:pPr>
        <w:spacing w:after="0" w:line="192"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Clinically, BXCL701 has been evaluated in more than 700 healthy subjects and cancer patients across multiple clinical trials, which provided evidence regarding tolerability, proof of mechanism, and single agent anti-tumor activity. In the latter case, single agent activity was seen in melanoma patients, an immune sensitive tumor. While providing evidence regarding the safety profile of the drug, these clinical studies also identified a maximum tolerated and recommended Phase 2 dose to use in future clinical trials.</w:t>
      </w:r>
    </w:p>
    <w:p>
      <w:pPr>
        <w:spacing w:after="0" w:line="188"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6"/>
          <w:szCs w:val="16"/>
          <w:color w:val="auto"/>
        </w:rPr>
        <w:t>BXCL701 is in development for the treatment of CRPC including the highly aggressive neuro endocrine variant of NEPC, a segment of prostate cancer patients that have progressed on second generation androgen inhibitors (Zytiga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Xtandi</w:t>
      </w:r>
      <w:r>
        <w:rPr>
          <w:rFonts w:ascii="Arial" w:cs="Arial" w:eastAsia="Arial" w:hAnsi="Arial"/>
          <w:sz w:val="23"/>
          <w:szCs w:val="23"/>
          <w:color w:val="auto"/>
          <w:vertAlign w:val="superscript"/>
        </w:rPr>
        <w:t>®</w:t>
      </w:r>
      <w:r>
        <w:rPr>
          <w:rFonts w:ascii="Arial" w:cs="Arial" w:eastAsia="Arial" w:hAnsi="Arial"/>
          <w:sz w:val="16"/>
          <w:szCs w:val="16"/>
          <w:color w:val="auto"/>
        </w:rPr>
        <w:t>) . Approximately one in four patients treated with Zytiga and Xtandi are expected to develop NEPC based on current clinical literature. The combined global sales of Zytiga and Xtandi, which are only approved for prostate cancer treatment, were approximately $7 billion in 2020, and we believe such sales number gives a perspective of the potential market for BXCL701 in this indication. Additionally, generic alternatives for Zytiga became available in the U.S. market in 2019, and we, therefore, expect the number of patients with access to androgen inhibitor therapy to increase.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Prostate Cancer Overview and Market Opportunity</w:t>
      </w:r>
    </w:p>
    <w:p>
      <w:pPr>
        <w:spacing w:after="0" w:line="229" w:lineRule="exact"/>
        <w:rPr>
          <w:sz w:val="20"/>
          <w:szCs w:val="20"/>
          <w:color w:val="auto"/>
        </w:rPr>
      </w:pPr>
    </w:p>
    <w:p>
      <w:pPr>
        <w:ind w:left="60" w:right="199" w:firstLine="324"/>
        <w:spacing w:after="0" w:line="289" w:lineRule="auto"/>
        <w:rPr>
          <w:sz w:val="20"/>
          <w:szCs w:val="20"/>
          <w:color w:val="auto"/>
        </w:rPr>
      </w:pPr>
      <w:r>
        <w:rPr>
          <w:rFonts w:ascii="Arial" w:cs="Arial" w:eastAsia="Arial" w:hAnsi="Arial"/>
          <w:sz w:val="16"/>
          <w:szCs w:val="16"/>
          <w:color w:val="auto"/>
        </w:rPr>
        <w:t>Prostate cancer is the most common malignancy and is the second leading cause of cancer death in men in the United States. In 2022, more than 3.1 million men in the United States are living with, or in remission from, prostate cancer. The American Cancer Society’s estimates for prostate cancer in the United States for 2022 are about 268,490 new cases of prostate cancer and about 34,500 deaths from prostate cancer. While the five year survival rate of local and regional prostate cancer is almost 100%, more aggressive forms of the disease such as metastatic prostate cancer have a five-year survival rate of approximately 30%. These aggressive forms of prostate cancer can initially be treated with androgen deprivation therapy. However, almost all patients experience a recurrence in tumor growth, which results in the patient having CRPC. An estimated 180,000 men in the United States are eligible for treatment with the second generation anti-androgen drugs Zytiga and Xtandi. These drugs have widely become the standard of care.</w:t>
      </w:r>
    </w:p>
    <w:p>
      <w:pPr>
        <w:spacing w:after="0" w:line="166"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Unfortunately, virtually all the patients who respond to Zytiga and Xtandi are expected to progress to even more aggressive forms of prostate cancer requiring further treatment. About one in five of the progressing patients will develop NEPC, for which there is no effective treatment based on information in an article published in the Journal of the National Comprehensive Cancer Network in 2014 by Agarwal et. al. and an article published by Journal of Clinical Oncology in 2014 by Wang et. al. NEPC specifically displays neuroendocrine differentiation, either pathologically with the presence of the typical neuroendocrine small cells, or molecularly by expressing neuroendocrine markers.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market opportunity for BXCL701 in the initial target markets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5503545" cy="3094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354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of Current Treatments for CRPC</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Despite demonstrated benefit of immunotherapies targeting PD-1—such as pembrolizumab—on clinical outcomes in many solid tumors, mCRPC remains largely resistant to such therapies with single-agent response rates of under 6%. Further exploration has been focused on combination therapies.</w:t>
      </w:r>
    </w:p>
    <w:p>
      <w:pPr>
        <w:spacing w:after="0" w:line="184"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There is no approved therapy for NEPC. NEPC patients are treated off-label with cytotoxic chemotherapies, such as platinum-based regimens. These treatments have poor efficacy due to their short duration of response and substantial toxicity. While the immuno-oncology field has made several advances in the treatment of solid tumors, several trials of immuno-oncology agents in patients with prostate cancer, and specifically NEPC, have shown limited or no anti-tumor activity.</w:t>
      </w:r>
    </w:p>
    <w:p>
      <w:pPr>
        <w:spacing w:after="0" w:line="188"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BXCL701’s potential immunomodulatory mechanism of action may manipulate the tumor micro-environment in such a way to convert a “cold” tumor environment into an inflamed “hot” environment so that prostate cancer can overcome resistance to immunotherapy.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Immuno-Oncology Program</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Clinical Trials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BXCL701 is currently being evaluated in two combination therapy clinical trials:</w:t>
      </w:r>
    </w:p>
    <w:p>
      <w:pPr>
        <w:spacing w:after="0" w:line="225"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In April 2020, we announced the initiation of the Phase 2 efficacy portion of the Phase 1b/2 trial evaluating BXCL701 in combination with KEYTRUDA® (pembrolizumab, a PD-1 inhibitor) for NEPC. The Phase 1b safety assessment of BXCL701 identified a split dose totaling 0.6 mg per day as the recommended dose when used in combination with KEYTRUDA®. In addition to the efficacy cohort in NEPC patients, in August 2020, we opened a separate cohort for CRPC patients who have failed taxane-based chemotherapy and up to two lines of second-generation androgen pathway blockers. Data from the Phase 1b portion of this trial were presented at the Society for Immunotherapy of Cancer’s, or SITC’s, 35th Anniversary Annual Meeting in 2020, and an interim efficacy update was presented at ASCO GU Symposium in February 2021. We reported updated interim data from the Phase 2 portion of this trial in NEPC and adenocarcinoma cohort at the ASCO GU Symposium in February 2022. Data from the Phase 2 portion of the trial were previously presented at the European Society for Medical Oncology conference in September 2021 and at ASCO GU in February 2021.</w:t>
      </w:r>
    </w:p>
    <w:p>
      <w:pPr>
        <w:spacing w:after="0" w:line="168"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The MD Anderson-led Phase 2 open-label basket trial is designed to evaluate the response rate of orally administered BXCL701, combined with KEYTRUDA, in two arms: Arm A is enrolling checkpoint naïve patients (where checkpoint therapy is indicated: “hot tumors”); and Arm B is enrolling patients who have progressed following checkpoint therapy alone. Interim data were presented at the June 2021 American Society of Clinical Oncology annual meeting. In the first half of 2022, we expect to present additional interim efficacy data from the trial.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Immuno-oncology Indications</w:t>
      </w:r>
    </w:p>
    <w:p>
      <w:pPr>
        <w:spacing w:after="0" w:line="229"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In addition to CRPC and CPI-refractory tumors, we plan to leverage our existing preclinical and clinical data to identify other cancer types with high unmet medical need that we believe would benefit from BXCL701’s novel potential mechanism of action. We are prioritizing indications where the immuno suppressive microenvironment is driven by the potential molecular and cellular targets of BXCL701 and where the single agent activity of approved immune checkpoint inhibitors is limited.</w:t>
      </w:r>
    </w:p>
    <w:p>
      <w:pPr>
        <w:spacing w:after="0" w:line="188"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We believe that BXCL701, if successfully developed and approved, may provide a platform for combination with immunotherapy modalities that go beyond the currently approved immune checkpoint agents that target the PD 1/PD L1 axis. Following our proof-of-concept trials, we plan to conduct clinical trials covering a broad range of additional combinations with other immunotherapy agents, including:</w:t>
      </w:r>
    </w:p>
    <w:p>
      <w:pPr>
        <w:spacing w:after="0" w:line="187"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immune checkpoint inhibitors (other than PD-1/PD-L1);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cellular therapies (CAR-T and chimeric antigen receptor natural killer cells);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therapeutic vaccines;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ADCC driven monoclonal antibodies.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Program</w:t>
      </w:r>
    </w:p>
    <w:p>
      <w:pPr>
        <w:spacing w:after="0" w:line="225"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We are targeting neuroscience disorders where there is a high unmet medical need, and therefore, a requirement for symptom management is a priority (such as agitation and symptoms resulting from stress-related behaviors) as well for transformative care for monogenic rare CNS disorders.</w:t>
      </w:r>
    </w:p>
    <w:p>
      <w:pPr>
        <w:spacing w:after="0" w:line="184"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For symptomatic approaches, our neuroscience program is developing product candidates with a focus on treating symptoms for various neurological and psychiatric disorders. This entails re innovating existing agents through formulation changes and deuteration. The utilization of our expanding internal AI capabilities along with BioXcel LLC’s AI capability has identified several monogenic diseases with available animal models across rare neuroscience diseases. We utilize proprietary algorithms to identify associated mechanisms with existing pharmacology to test whether these agents can improve the disease profile in the animal model either through disease modification or symptomatic manner. The agents identified must be those that we believe are Phase 2 ready with a potential for a short, cost-effective development plan (four to five years to potential NDA submission).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ind w:left="60" w:right="339" w:firstLine="324"/>
        <w:spacing w:after="0" w:line="301" w:lineRule="auto"/>
        <w:rPr>
          <w:sz w:val="20"/>
          <w:szCs w:val="20"/>
          <w:color w:val="auto"/>
        </w:rPr>
      </w:pPr>
      <w:r>
        <w:rPr>
          <w:rFonts w:ascii="Arial" w:cs="Arial" w:eastAsia="Arial" w:hAnsi="Arial"/>
          <w:sz w:val="16"/>
          <w:szCs w:val="16"/>
          <w:color w:val="auto"/>
        </w:rPr>
        <w:t>Our immuno-oncology program is based on utilizing a comprehensive map of all known relationships that link immuno-evasion and immuno-activation pathways and targets with thousands of pharmacological agents and tumor indications. This comprehensive map has permitted us to select a potential pipeline of candidates based on our ability to alter the tumor micro-environment and the potential to address relevant unmet medical needs for various tumor types.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279" w:firstLine="324"/>
        <w:spacing w:after="0" w:line="273"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products. The immuno-oncology, neuroscience, and rare disease segments of the industry in particular are highly competitive. While we believe that our technology, development experience and scientific knowledge provide competitive advantages, we face potential competition from many different sources, including major pharmaceutical, specialty pharmaceutical, and biotechnology companies, academic institutions and governmental agencies, and public and private research institutions.</w:t>
      </w:r>
    </w:p>
    <w:p>
      <w:pPr>
        <w:spacing w:after="0" w:line="178"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studies,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8"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The key competitive factors affecting the success of all of our product candidates, if approved, are likely to be their efficacy, safety, convenience, price, the effectiveness of companion diagnostics in guiding the use of related therapeutics, if any, the level of generic competition and the availability of reimbursement from government and other third-party payors.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medicines that are safer, are more effective, have fewer or less severe side effects, are more convenient or are less expensive than any medicines we may develop. Our competitors also may obtain FDA or other regulatory approval for their medicines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medicines. There are many generic medicines currently on the market for certain indications that we are pursuing, and additional generics are expected to become available over the coming years. If our therapeutic product candidates are approved, we expect that they will be priced at a significant premium over competitive generic medicines.</w:t>
      </w:r>
    </w:p>
    <w:p>
      <w:pPr>
        <w:spacing w:after="0" w:line="181"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If the product candidates of our priority programs are approved for the indications for which we are currently planning clinical trials, they will compete with the drugs discussed below and will likely compete with other drugs currently in development.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Neurological and Psychiatric Disorders</w:t>
      </w:r>
    </w:p>
    <w:p>
      <w:pPr>
        <w:spacing w:after="0" w:line="225"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Drugs used for the acute treatment of agitation related to schizophrenia and bipolar disorder are antipsychotics frequently administered via IM injection which typically requires patient restraint. These include IM aripiprazole, olanzapine, ziprasidone and haloperidol. Oral products include the sublingually administered atypical antipsychotic asenapine as well as the benzodiazepines, lorazepam and midazolam. The typical antipsychotic Adasuve (loxapine) from Alexza is delivered via inhalation.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w:t>
      </w:r>
    </w:p>
    <w:p>
      <w:pPr>
        <w:spacing w:after="0" w:line="22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The immuno-oncology field is characterized by the rapid evolution of technologies and products and by fierce competition based on the development of compounds, often with similar mechanisms of action. Clinical development plans are further compounded by the possibility of overlapping intellectual property. A wide variety of commercial players, large pharmaceutical companies, established and emerging biotechnology companies, and several not-for-profit entities are actively developing potentially competitive products in immuno-oncology and in our lead indications.</w:t>
      </w:r>
    </w:p>
    <w:p>
      <w:pPr>
        <w:spacing w:after="0" w:line="176"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While we believe our product candidates, technology, knowledge, and experience provide us with competitive advantages, we face competition from established and emerging pharmaceutical and biotechnology companies. Such companies include:</w:t>
      </w:r>
    </w:p>
    <w:p>
      <w:pPr>
        <w:spacing w:after="0" w:line="180" w:lineRule="exact"/>
        <w:rPr>
          <w:sz w:val="20"/>
          <w:szCs w:val="20"/>
          <w:color w:val="auto"/>
        </w:rPr>
      </w:pPr>
    </w:p>
    <w:p>
      <w:pPr>
        <w:ind w:left="1040" w:right="259" w:hanging="315"/>
        <w:spacing w:after="0" w:line="26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Major pharmaceutical companies developing multiple immuno-oncology agents: </w:t>
      </w:r>
      <w:r>
        <w:rPr>
          <w:rFonts w:ascii="Arial" w:cs="Arial" w:eastAsia="Arial" w:hAnsi="Arial"/>
          <w:sz w:val="18"/>
          <w:szCs w:val="18"/>
          <w:color w:val="auto"/>
        </w:rPr>
        <w:t>AstraZeneca PLC,</w:t>
      </w:r>
      <w:r>
        <w:rPr>
          <w:rFonts w:ascii="Arial" w:cs="Arial" w:eastAsia="Arial" w:hAnsi="Arial"/>
          <w:sz w:val="18"/>
          <w:szCs w:val="18"/>
          <w:b w:val="1"/>
          <w:bCs w:val="1"/>
          <w:color w:val="auto"/>
        </w:rPr>
        <w:t xml:space="preserve"> </w:t>
      </w:r>
      <w:r>
        <w:rPr>
          <w:rFonts w:ascii="Arial" w:cs="Arial" w:eastAsia="Arial" w:hAnsi="Arial"/>
          <w:sz w:val="18"/>
          <w:szCs w:val="18"/>
          <w:color w:val="auto"/>
        </w:rPr>
        <w:t>Bristol-Myers Squibb Company, Celgene Corporation, Merck &amp; Co., Inc., Novartis AG, Pfizer Inc., Roche Holding Ltd., and Sanofi SA.</w:t>
      </w:r>
    </w:p>
    <w:p>
      <w:pPr>
        <w:spacing w:after="0" w:line="175" w:lineRule="exact"/>
        <w:rPr>
          <w:rFonts w:ascii="Arial" w:cs="Arial" w:eastAsia="Arial" w:hAnsi="Arial"/>
          <w:sz w:val="18"/>
          <w:szCs w:val="18"/>
          <w:color w:val="auto"/>
        </w:rPr>
      </w:pPr>
    </w:p>
    <w:p>
      <w:pPr>
        <w:ind w:left="1040" w:right="379" w:hanging="315"/>
        <w:spacing w:after="0" w:line="281"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Companies developing agents aimed at stimulating the immune response: </w:t>
      </w:r>
      <w:r>
        <w:rPr>
          <w:rFonts w:ascii="Arial" w:cs="Arial" w:eastAsia="Arial" w:hAnsi="Arial"/>
          <w:sz w:val="17"/>
          <w:szCs w:val="17"/>
          <w:color w:val="auto"/>
        </w:rPr>
        <w:t>AdaptImmune LLC, Idera</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Pharmaceuticals, Inc., Immune Design Corp., NewLink Genetic Corporation, Advaxis, Inc., Argos Therapeutics, Inc., Biovest International, Inc., ImmunoCellular Therapeutics, Ltd., Immune Design, Inc., Inovio Pharmaceuticals, Inc., Intrexon Corporation and Northwest Biotherapeutics, Inc.</w:t>
      </w:r>
    </w:p>
    <w:p>
      <w:pPr>
        <w:spacing w:after="0" w:line="164" w:lineRule="exact"/>
        <w:rPr>
          <w:rFonts w:ascii="Arial" w:cs="Arial" w:eastAsia="Arial" w:hAnsi="Arial"/>
          <w:sz w:val="17"/>
          <w:szCs w:val="17"/>
          <w:color w:val="auto"/>
        </w:rPr>
      </w:pPr>
    </w:p>
    <w:p>
      <w:pPr>
        <w:ind w:left="1040" w:right="639" w:hanging="315"/>
        <w:spacing w:after="0" w:line="347"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Companies developing cell-based immunotherapy approaches: </w:t>
      </w:r>
      <w:r>
        <w:rPr>
          <w:rFonts w:ascii="Arial" w:cs="Arial" w:eastAsia="Arial" w:hAnsi="Arial"/>
          <w:sz w:val="16"/>
          <w:szCs w:val="16"/>
          <w:color w:val="auto"/>
        </w:rPr>
        <w:t>Intrexon Corporation, Juno</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Therapeutics, Inc., Kite Pharma, Inc. (acquired by Gilead Sciences, Inc.), Novartis AG and Pfizer Inc.</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We do not have manufacturing facilities. We currently rely on strategic manufacturing partners and expect to continue to rely on third parties for the manufacture of our product candidates for clinical research as well as for eventual, possible commercial manufacturing.</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For the supply of drug substance and drug product for our BXCL501 clinical program, we have secured manufacturing partners. We have completed the manufacture of phase III clinical supply and registration batches of our proprietary, sublingual thin film product.</w:t>
      </w:r>
    </w:p>
    <w:p>
      <w:pPr>
        <w:spacing w:after="0" w:line="184"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We produce clinical drug product for BXCL701 under exclusivity with the original manufacturers of the active pharmaceutical ingredient, or API, and drug product tablets, respectively.</w:t>
      </w:r>
    </w:p>
    <w:p>
      <w:pPr>
        <w:spacing w:after="0" w:line="17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Manufacturing partners used for both programs currently manufacture commercial products, and we consider them to be suitable for commercial supply for our programs, if approved.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We plan to retain our worldwide commercialization rights for some of our key product candidates, while for other product candidates we could potentially consider collaboration opportunities to maximize returns.</w:t>
      </w:r>
    </w:p>
    <w:p>
      <w:pPr>
        <w:spacing w:after="0" w:line="170" w:lineRule="exact"/>
        <w:rPr>
          <w:sz w:val="20"/>
          <w:szCs w:val="20"/>
          <w:color w:val="auto"/>
        </w:rPr>
      </w:pPr>
    </w:p>
    <w:p>
      <w:pPr>
        <w:ind w:left="60" w:right="99" w:firstLine="324"/>
        <w:spacing w:after="0" w:line="253" w:lineRule="auto"/>
        <w:rPr>
          <w:sz w:val="20"/>
          <w:szCs w:val="20"/>
          <w:color w:val="auto"/>
        </w:rPr>
      </w:pPr>
      <w:r>
        <w:rPr>
          <w:rFonts w:ascii="Arial" w:cs="Arial" w:eastAsia="Arial" w:hAnsi="Arial"/>
          <w:sz w:val="18"/>
          <w:szCs w:val="18"/>
          <w:color w:val="auto"/>
        </w:rPr>
        <w:t>As a Company we have no experience in commercializing products, however, we intend to build our own commercialization organization and capabilities over time. We are considering partnerships, joint ventures, and a variety of business partnerships for the Japanese and European Markets. We currently plan to retain U.S. rights and are working towards a potential BXCL501 approval on April 5, 2022. For example, in the second half of 2021 we fully launched our unbranded disease education campaign to promote awareness around the treatment of agitation in schizophrenia and bipolar disorders. In addition, we fully deployed our Medical Science Liaison and Medical Managed Care teams who actively engaged with healthcare professionals and payors to provide key insights to support our commercial strategy. If BXCL501 is approved outside the United States we would consider launching BXCL501 through collaborations with third parties.</w:t>
      </w:r>
    </w:p>
    <w:p>
      <w:pPr>
        <w:spacing w:after="0" w:line="196"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As product candidates advance through our pipeline, our commercial plans may change. Clinical data, the size of the development programs, the size of the target market, the size of a commercial infrastructure, and manufacturing needs may all influence our United States, European Union, and rest-of-world strategies.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Our policy is to protect and enhance the proprietary technologies, inventions, and improvements that are commercially important to our business by filing patent applications in the United States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strengthen, and maintain our proprietary position for novel therapeutics and novel formulations of existing therapeutics across multiple therapeutic areas. We also plan to rely on data exclusivity, market exclusivity, and patent term extensions when available.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Patent Portfolio</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As of February 1, 2022, our patent portfolio included 6 Patent Cooperation Treaty, or PCT, applications, 16 U.S. utility applications, 1 issued U.S. utility patent, 9 U.S. provisional patent applications, 89 pending non-U.S. applications, 9 allowed or granted non-U.S. patents, 1 design patent application, which is a U.S. design application, and 34 allowed or registered design patents. U.S. Pat. No. 10,792,246, directed to our proprietary sublingual thin-film formulation of Dex, was issued on October 6, 2020 and has a term that is set to expire no earlier than 2039. We plan to list the U.S. patent in the FDA's Approved Drug Products with Therapeutic Equivalence Evaluations, or Orange Book. We have filed applications in the core patent family protecting BXCL501 in the United States, Taiwan, and other major markets. We expect that patents issuing from these applications, if any, will expire no earlier than 2039. We have also filed applications in additional patent families that are relevant to BXCL501. We have applications pending in the United States, Europe and Japan directed to methods of treating insomnia using sublingual Dex. We expect that patents issuing from these applications, if any, will expire no earlier than 2035. We also have applications filed in 15 countries, including the United States, Europe, Japan, and China, directed to methods of treating agitation. We expect that patents issuing from these applications, if any, will expire no earlier than 2037. We have one U.S. application and one European</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application directed to intravenous administration of Dex. We expect that patents issuing from these applications, if any, will expire no earlier than 2039. We continue to file new applications on an ongoing basis, including provisional applications directed to treating mania and dementia. If patents issue from those cases, we expect them to expire no earlier than 2041 and 2042, respectively.</w:t>
      </w:r>
    </w:p>
    <w:p>
      <w:pPr>
        <w:spacing w:after="0" w:line="18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have multiple patent families filed to protect our BXCL701 program, including our core patent family directed to methods of using BXCL701 with immune checkpoint inhibitors, which is filed in the United States and 14 other countries. Any patents issuing from that family should expire no earlier than 2036. We have a PCT application directed to combination therapies using BXCL701 with immune checkpoint inhibitors and approaches for modifying T-cell activity. We expect any patents issuing from this family to expire no earlier than 2038. Additional PCT and ex-US applications are directed to administering BXCL701 in combinations with various other molecules and dosing regimens. We expect that patents issuing from these applications, if any, will expire no earlier than 2039. Finally, we have multiple provisional applications directed to various dosing regimens and combination therapies. Any patents issuing from those applications are expected to expire between 2039 and 2041 at the earliest.</w:t>
      </w:r>
    </w:p>
    <w:p>
      <w:pPr>
        <w:spacing w:after="0" w:line="181"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Depending upon the timing, duration, and specifics of FDA approval of our product candidates, a United States patent we own or license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NDA, plus the time between the submission date of an NDA and the approval of that application. Only one patent applicable to an approved drug is eligible for the extension, and the application for extension must be made prior to the expiration of the patent. The United States 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82"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force for only a short period following commercialization, thereby reducing the commercial advantage the patent provides.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Relationship with BioXcel LLC</w:t>
      </w:r>
    </w:p>
    <w:p>
      <w:pPr>
        <w:spacing w:after="0" w:line="229" w:lineRule="exact"/>
        <w:rPr>
          <w:sz w:val="20"/>
          <w:szCs w:val="20"/>
          <w:color w:val="auto"/>
        </w:rPr>
      </w:pPr>
    </w:p>
    <w:p>
      <w:pPr>
        <w:jc w:val="both"/>
        <w:ind w:left="60" w:right="439" w:firstLine="324"/>
        <w:spacing w:after="0" w:line="263" w:lineRule="auto"/>
        <w:rPr>
          <w:sz w:val="20"/>
          <w:szCs w:val="20"/>
          <w:color w:val="auto"/>
        </w:rPr>
      </w:pPr>
      <w:r>
        <w:rPr>
          <w:rFonts w:ascii="Arial" w:cs="Arial" w:eastAsia="Arial" w:hAnsi="Arial"/>
          <w:sz w:val="18"/>
          <w:szCs w:val="18"/>
          <w:color w:val="auto"/>
        </w:rPr>
        <w:t>BioXcel LLC currently holds a 31% interest in the Company and our pipeline compounds have been identified by applying our growing internal AI capabilities along with utilizing BioXcel LLC’s expertise in EvolverAI, for drug re-innovation.</w:t>
      </w:r>
    </w:p>
    <w:p>
      <w:pPr>
        <w:spacing w:after="0" w:line="184"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entered into the Amended and Restated Asset Contribution Agreement, pursuant to which BioXcel LLC, agreed to contribute BioXcel LLC’s rights, title and interest in BXCL501, BXCL701, BXCL502 and BXCL702, and all of the assets and liabilities associated in consideration for (i) 9,480,000 shares of our common stock, (ii) $1 million upon completion of an initial public offering, (iii) $500,000 upon the later of the 12 month anniversary of an initial public offering and the first dosing of a patient in the bridging bioavailability/ bioequivalence study for the BXCL501 program, (iv) $500,000 upon the later of the 12 month anniversary of an initial public offering and the first dosing of a patient in the Phase 2 proof of concept open-label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Candidates or a product derived therefrom.</w:t>
      </w:r>
    </w:p>
    <w:p>
      <w:pPr>
        <w:spacing w:after="0" w:line="18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We entered into a Separation and Shared Services Agreement with BioXcel LLC that took effect on June 30, 2017, as amended and restated thereafter, or the Services Agreement, pursuant to which services provided by BioXcel LLC through its subsidiaries in India and the United States will continue indefinitely, as agreed upon by the parties. These services are primarily for drug discovery, chemical, manufacturing and controls cost and general and administrative support. Service charges recorded under this agreement were $1.4 million and $1.3 million for the year ended December 31, 2021 and 2020, respectively.</w:t>
      </w:r>
    </w:p>
    <w:p>
      <w:pPr>
        <w:spacing w:after="0" w:line="192"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Under the Services Agreement, the Company has an option, exercisable until March 12, 2023, to enter into a collaborative services agreement with BioXcel LLC pursuant to which BioXcel LLC shall perform product identification and related services for us utilizing EvolverAI.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LLC shall continue to make such product identification and related services available to us until at least September 30, 2024.</w:t>
      </w:r>
    </w:p>
    <w:p>
      <w:pPr>
        <w:spacing w:after="0" w:line="166"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We paid $9 million in February 2020 for the purchase and subsequent cancellation of 300,000 shares owned by BioXcel LLC, which is more fully discussed in Note 5 to the financial statements included elsewhere in this Annual Report on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ind w:left="60" w:right="219" w:firstLine="324"/>
        <w:spacing w:after="0" w:line="270" w:lineRule="auto"/>
        <w:rPr>
          <w:sz w:val="20"/>
          <w:szCs w:val="20"/>
          <w:color w:val="auto"/>
        </w:rPr>
      </w:pPr>
      <w:r>
        <w:rPr>
          <w:rFonts w:ascii="Arial" w:cs="Arial" w:eastAsia="Arial" w:hAnsi="Arial"/>
          <w:sz w:val="17"/>
          <w:szCs w:val="17"/>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25"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157" w:lineRule="exact"/>
        <w:rPr>
          <w:sz w:val="20"/>
          <w:szCs w:val="20"/>
          <w:color w:val="auto"/>
        </w:rPr>
      </w:pPr>
    </w:p>
    <w:p>
      <w:pPr>
        <w:ind w:left="720" w:right="11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720" w:right="4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170" w:lineRule="exact"/>
        <w:rPr>
          <w:rFonts w:ascii="Arial" w:cs="Arial" w:eastAsia="Arial" w:hAnsi="Arial"/>
          <w:sz w:val="18"/>
          <w:szCs w:val="18"/>
          <w:color w:val="auto"/>
        </w:rPr>
      </w:pPr>
    </w:p>
    <w:p>
      <w:pPr>
        <w:ind w:left="720" w:right="759" w:hanging="319"/>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practices (“GCPs”), to establish the safety and efficacy of the proposed drug for its intended use;</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after completion of all pivotal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720" w:right="79" w:hanging="319"/>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 and</w:t>
      </w:r>
    </w:p>
    <w:p>
      <w:pPr>
        <w:spacing w:after="0" w:line="186"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7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Prior to beginning the first clinical trial with a product candidate in the United States, a sponsor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2"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25" w:lineRule="exact"/>
        <w:rPr>
          <w:sz w:val="20"/>
          <w:szCs w:val="20"/>
          <w:color w:val="auto"/>
        </w:rPr>
      </w:pPr>
    </w:p>
    <w:p>
      <w:pPr>
        <w:jc w:val="both"/>
        <w:ind w:left="1040" w:right="179" w:hanging="63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6" w:lineRule="exact"/>
        <w:rPr>
          <w:rFonts w:ascii="Arial" w:cs="Arial" w:eastAsia="Arial" w:hAnsi="Arial"/>
          <w:sz w:val="18"/>
          <w:szCs w:val="18"/>
          <w:color w:val="auto"/>
        </w:rPr>
      </w:pPr>
    </w:p>
    <w:p>
      <w:pPr>
        <w:ind w:left="1040" w:right="179" w:hanging="639"/>
        <w:spacing w:after="0" w:line="279"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1" w:lineRule="exact"/>
        <w:rPr>
          <w:rFonts w:ascii="Arial" w:cs="Arial" w:eastAsia="Arial" w:hAnsi="Arial"/>
          <w:sz w:val="17"/>
          <w:szCs w:val="17"/>
          <w:color w:val="auto"/>
        </w:rPr>
      </w:pPr>
    </w:p>
    <w:p>
      <w:pPr>
        <w:ind w:left="1040" w:right="139" w:hanging="639"/>
        <w:spacing w:after="0" w:line="30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7"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88"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7"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64"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7"/>
          <w:szCs w:val="17"/>
          <w:color w:val="auto"/>
        </w:rPr>
        <w:t>In addition, during the development of a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drug.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22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1"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PDUFA, guidelines that are currently in effect, the FDA has a goal of ten months from the filing date to complete a standard review of an NDA for a drug that is a new molecular entity, and of ten months from the date of NDA receipt to complete a standard review of an NDA for a drug that is not a new molecular entity.</w:t>
      </w:r>
    </w:p>
    <w:p>
      <w:pPr>
        <w:spacing w:after="0" w:line="166"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7"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will typically inspect one or more clinical sites to assure compliance with GCPs.</w:t>
      </w:r>
    </w:p>
    <w:p>
      <w:pPr>
        <w:spacing w:after="0" w:line="188"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185"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 market studies and surveillance to further assess and monitor the product’s safety and effectiveness after commercialization and may limit further marketing of the product based on the results of these post-marketing studies.</w:t>
      </w:r>
    </w:p>
    <w:p>
      <w:pPr>
        <w:spacing w:after="0" w:line="164"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79"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A combination product with a primary mode of action attributable to the drug component generally would be reviewed and approved pursuant to the drug approval processes set forth in the FDCA. In reviewing the NDA for such a product, however, FDA reviewers would consult with their counterparts in the device center to ensure that the device component of the combination product met applicable requirements regarding safety, effectiveness, durability and performance. In addition, under FDA regulations, combination products subject to cGMP requirements applicable to both drugs and devices, including the Quality System Regulations (“QSR”) applicable to medical devices.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For example, the Fast Track program is intended to expedite or facilitate the process for reviewing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NDA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78"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 or with respect to non-new-molecular-entity NDAs, within six months of the NDA receipt date.</w:t>
      </w:r>
    </w:p>
    <w:p>
      <w:pPr>
        <w:spacing w:after="0" w:line="178"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72"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7"/>
          <w:szCs w:val="17"/>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95"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different drug for the same disease or condition, or the same drug for a different disease or condition. Among the other benefits of orphan drug designation are tax credits for certain research and a waiver of the NDA application user fee.</w:t>
      </w:r>
    </w:p>
    <w:p>
      <w:pPr>
        <w:spacing w:after="0" w:line="124"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86"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78" w:lineRule="exact"/>
        <w:rPr>
          <w:sz w:val="20"/>
          <w:szCs w:val="20"/>
          <w:color w:val="auto"/>
        </w:rPr>
      </w:pPr>
    </w:p>
    <w:p>
      <w:pPr>
        <w:ind w:left="1040" w:right="239" w:hanging="63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1040" w:hanging="63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25" w:lineRule="exact"/>
        <w:rPr>
          <w:rFonts w:ascii="Arial" w:cs="Arial" w:eastAsia="Arial" w:hAnsi="Arial"/>
          <w:sz w:val="18"/>
          <w:szCs w:val="18"/>
          <w:color w:val="auto"/>
        </w:rPr>
      </w:pPr>
    </w:p>
    <w:p>
      <w:pPr>
        <w:ind w:left="1040" w:hanging="63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225" w:lineRule="exact"/>
        <w:rPr>
          <w:rFonts w:ascii="Arial" w:cs="Arial" w:eastAsia="Arial" w:hAnsi="Arial"/>
          <w:sz w:val="18"/>
          <w:szCs w:val="18"/>
          <w:color w:val="auto"/>
        </w:rPr>
      </w:pPr>
    </w:p>
    <w:p>
      <w:pPr>
        <w:ind w:left="1040" w:right="619" w:hanging="63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70" w:lineRule="exact"/>
        <w:rPr>
          <w:rFonts w:ascii="Arial" w:cs="Arial" w:eastAsia="Arial" w:hAnsi="Arial"/>
          <w:sz w:val="18"/>
          <w:szCs w:val="18"/>
          <w:color w:val="auto"/>
        </w:rPr>
      </w:pPr>
    </w:p>
    <w:p>
      <w:pPr>
        <w:ind w:left="1040" w:hanging="63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1040" w:right="599" w:hanging="63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70" w:lineRule="exact"/>
        <w:rPr>
          <w:rFonts w:ascii="Arial" w:cs="Arial" w:eastAsia="Arial" w:hAnsi="Arial"/>
          <w:sz w:val="18"/>
          <w:szCs w:val="18"/>
          <w:color w:val="auto"/>
        </w:rPr>
      </w:pPr>
    </w:p>
    <w:p>
      <w:pPr>
        <w:ind w:left="1040" w:right="879" w:hanging="63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70" w:lineRule="exact"/>
        <w:rPr>
          <w:rFonts w:ascii="Arial" w:cs="Arial" w:eastAsia="Arial" w:hAnsi="Arial"/>
          <w:sz w:val="18"/>
          <w:szCs w:val="18"/>
          <w:color w:val="auto"/>
        </w:rPr>
      </w:pPr>
    </w:p>
    <w:p>
      <w:pPr>
        <w:ind w:left="1040" w:right="559" w:hanging="63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63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Hatch-Waxman Act</w:t>
      </w:r>
    </w:p>
    <w:p>
      <w:pPr>
        <w:spacing w:after="0" w:line="225" w:lineRule="exact"/>
        <w:rPr>
          <w:sz w:val="20"/>
          <w:szCs w:val="20"/>
          <w:color w:val="auto"/>
        </w:rPr>
      </w:pPr>
    </w:p>
    <w:p>
      <w:pPr>
        <w:ind w:left="60" w:right="59" w:firstLine="324"/>
        <w:spacing w:after="0" w:line="267" w:lineRule="auto"/>
        <w:rPr>
          <w:sz w:val="20"/>
          <w:szCs w:val="20"/>
          <w:color w:val="auto"/>
        </w:rPr>
      </w:pPr>
      <w:r>
        <w:rPr>
          <w:rFonts w:ascii="Arial" w:cs="Arial" w:eastAsia="Arial" w:hAnsi="Arial"/>
          <w:sz w:val="17"/>
          <w:szCs w:val="17"/>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505(b)(2) NDA.</w:t>
      </w:r>
    </w:p>
    <w:p>
      <w:pPr>
        <w:spacing w:after="0" w:line="185"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88"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non-patent data exclusivity upon approval of a new drug containing new chemical entities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 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condition of the new drug's approval. As a general matter, the three 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Approval and Regulation of Medical Devices and Companion Diagnostics</w:t>
      </w:r>
    </w:p>
    <w:p>
      <w:pPr>
        <w:spacing w:after="0" w:line="225"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If safe and effective use of a therapeutic depends on an in vitro diagnostic,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in vitro companion diagnostics in conjunction with the review of our product candidates in development for cancer will, therefore, likely involve coordination of review by the FDA’s Center for Drug Evaluation and Research and the FDA’s Center for Devices and Radiological Health Office of In Vitro Diagnostics and Radiological Health.</w:t>
      </w:r>
    </w:p>
    <w:p>
      <w:pPr>
        <w:spacing w:after="0" w:line="172" w:lineRule="exact"/>
        <w:rPr>
          <w:sz w:val="20"/>
          <w:szCs w:val="20"/>
          <w:color w:val="auto"/>
        </w:rPr>
      </w:pPr>
    </w:p>
    <w:p>
      <w:pPr>
        <w:ind w:left="60" w:right="439" w:firstLine="324"/>
        <w:spacing w:after="0" w:line="293" w:lineRule="auto"/>
        <w:rPr>
          <w:sz w:val="20"/>
          <w:szCs w:val="20"/>
          <w:color w:val="auto"/>
        </w:rPr>
      </w:pPr>
      <w:r>
        <w:rPr>
          <w:rFonts w:ascii="Arial" w:cs="Arial" w:eastAsia="Arial" w:hAnsi="Arial"/>
          <w:sz w:val="16"/>
          <w:szCs w:val="16"/>
          <w:color w:val="auto"/>
        </w:rPr>
        <w:t>Under the FDCA, in vitro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medical devices, including companion diagnostic tests, require marketing clearance or approval from the FDA prior to commercial distribution.</w:t>
      </w:r>
    </w:p>
    <w:p>
      <w:pPr>
        <w:spacing w:after="0" w:line="164"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The two primary types of FDA marketing authorization applicable to a medical device are premarket notification, also called 510(k) clearance, and premarket approval (“PMA”). To obtain 510(k) clearance, a manufacturer must submit to the FDA a premarket notification submission demonstrating that the proposed device is “substantially equivalent” to a legally marketed predicate device. The FDA’s 510(k) clearance process usually takes from three to twelve months, but may take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device is “not substantially equivalent” to a previously cleared device, the device is automatically designated as a Class III (i.e., high-risk)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57"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approval of a PMA, or issuance of a de novo classification. Also, in these circumstances, the manufacturer may be subject to significant regulatory fines or penalties.</w:t>
      </w:r>
    </w:p>
    <w:p>
      <w:pPr>
        <w:spacing w:after="0" w:line="16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QSR which imposes elaborate testing, control, documentation and other quality assurance requirements.</w:t>
      </w:r>
    </w:p>
    <w:p>
      <w:pPr>
        <w:spacing w:after="0" w:line="185"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0"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225" w:lineRule="exact"/>
        <w:rPr>
          <w:sz w:val="20"/>
          <w:szCs w:val="20"/>
          <w:color w:val="auto"/>
        </w:rPr>
      </w:pPr>
    </w:p>
    <w:p>
      <w:pPr>
        <w:ind w:left="60" w:right="519" w:firstLine="324"/>
        <w:spacing w:after="0" w:line="342" w:lineRule="auto"/>
        <w:rPr>
          <w:sz w:val="20"/>
          <w:szCs w:val="20"/>
          <w:color w:val="auto"/>
        </w:rPr>
      </w:pPr>
      <w:r>
        <w:rPr>
          <w:rFonts w:ascii="Arial" w:cs="Arial" w:eastAsia="Arial" w:hAnsi="Arial"/>
          <w:sz w:val="16"/>
          <w:szCs w:val="16"/>
          <w:color w:val="auto"/>
        </w:rPr>
        <w:t>In addition to regulations in the United States, we are and will be subject to a variety of regulations in other jurisdictions governing, among other things, clinical trials, marketing authorization, post-marketing requirements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Non-Clinical Studies and Clinical Trials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Similarly to the U.S., the various phases of non-clinical and clinical research in the European Union (“EU”) are subject to significant regulatory controls.</w:t>
      </w:r>
    </w:p>
    <w:p>
      <w:pPr>
        <w:spacing w:after="0" w:line="170"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Non-clinical studies are performed to demonstrate the health or environmental safety of new chemical or biological substances. Non-clinical studies must be conducted in compliance with the principles of good laboratory practice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64"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Clinical trials of medicinal products in the EU must be conducted in accordance with EU and national regulations and the International Conference on Harmonization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78"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9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While the Clinical Trials Directive required a separate clinical trial application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w:t>
      </w:r>
    </w:p>
    <w:p>
      <w:pPr>
        <w:spacing w:after="0" w:line="192"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During the development of a medicinal product, the European Medicines Agency (“EMA”) and national regulators provide the opportunity for dialogue and guidance on the development program. At the EMA level, this is usually done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in the form of scientific advice, which is given by the Scientific Advice Working Party of the Committee for Medicinal Products for Human Use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with regard to any future marketing authorization application of the product concerned.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In order to market our product candidates in the EU and many other foreign jurisdictions, we must obtain separate regulatory approvals. More concretely, in the EU, medicinal products candidates can only be placed on the market after obtaining a marketing authorization (“MA”). To obtain regulatory approval of a product candidate in the EU, we must submit a MA application (“MAA”). The process for doing this depends, among other things, on the nature of the medicinal product. There are two types of MAs:</w:t>
      </w:r>
    </w:p>
    <w:p>
      <w:pPr>
        <w:spacing w:after="0" w:line="188" w:lineRule="exact"/>
        <w:rPr>
          <w:sz w:val="20"/>
          <w:szCs w:val="20"/>
          <w:color w:val="auto"/>
        </w:rPr>
      </w:pPr>
    </w:p>
    <w:p>
      <w:pPr>
        <w:ind w:left="1040" w:right="199" w:hanging="315"/>
        <w:spacing w:after="0" w:line="288"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“Centralized MAs” are issued by the European Commission through the centralized procedure based on the opinion of the EMA’s CHMP, and are valid throughout the EU. The centralized procedure is compulsory for certain types of medicinal products such as: (i) medicinal products derived from biotechnology processes, such as genetic engineering, (ii) medicinal products containing a new active substance indicated for the treatment of certain diseases, such as HIV/AIDS, cancer, diabetes, neurodegenerative diseases, autoimmune and other immune dysfunctions and viral diseases, (iii) designated orphan medicinal products and (iv) advanced therapy medicinal products (“ATMPs”) such as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 •</w:t>
      </w:r>
    </w:p>
    <w:p>
      <w:pPr>
        <w:spacing w:after="0" w:line="168" w:lineRule="exact"/>
        <w:rPr>
          <w:rFonts w:ascii="Arial" w:cs="Arial" w:eastAsia="Arial" w:hAnsi="Arial"/>
          <w:sz w:val="16"/>
          <w:szCs w:val="16"/>
          <w:color w:val="auto"/>
        </w:rPr>
      </w:pPr>
    </w:p>
    <w:p>
      <w:pPr>
        <w:ind w:left="1040" w:right="79" w:hanging="315"/>
        <w:spacing w:after="0" w:line="290"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65" w:lineRule="exact"/>
        <w:rPr>
          <w:sz w:val="20"/>
          <w:szCs w:val="20"/>
          <w:color w:val="auto"/>
        </w:rPr>
      </w:pPr>
    </w:p>
    <w:p>
      <w:pPr>
        <w:ind w:left="60" w:right="79" w:firstLine="324"/>
        <w:spacing w:after="0" w:line="267" w:lineRule="auto"/>
        <w:rPr>
          <w:sz w:val="20"/>
          <w:szCs w:val="20"/>
          <w:color w:val="auto"/>
        </w:rPr>
      </w:pPr>
      <w:r>
        <w:rPr>
          <w:rFonts w:ascii="Arial" w:cs="Arial" w:eastAsia="Arial" w:hAnsi="Arial"/>
          <w:sz w:val="17"/>
          <w:szCs w:val="17"/>
          <w:color w:val="auto"/>
        </w:rPr>
        <w:t>Under the centralized procedure, the maximum timeframe for the evaluation of a MAA by the EMA is 210 days. This excludes so-called clock stops, during which additional written or oral information is to be provided by the applicant in response to questions asked by the CHMP. At the end of the review period, the CHMP provides an opinion to the European Commission. If this opinion is favorable, the Commission may then adopt a decision to grant an MA.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22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The EU also provides opportunities for market exclusivity. Upon receiving MA, reference product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Orphan Medicinal Products</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The criteria for designating an “orphan medicinal product” in the EU are similar in principle to those in the United States.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177" w:lineRule="exact"/>
        <w:rPr>
          <w:sz w:val="20"/>
          <w:szCs w:val="20"/>
          <w:color w:val="auto"/>
        </w:rPr>
      </w:pPr>
    </w:p>
    <w:p>
      <w:pPr>
        <w:jc w:val="both"/>
        <w:ind w:left="60" w:right="79" w:firstLine="324"/>
        <w:spacing w:after="0" w:line="287" w:lineRule="auto"/>
        <w:rPr>
          <w:sz w:val="20"/>
          <w:szCs w:val="20"/>
          <w:color w:val="auto"/>
        </w:rPr>
      </w:pPr>
      <w:r>
        <w:rPr>
          <w:rFonts w:ascii="Arial" w:cs="Arial" w:eastAsia="Arial" w:hAnsi="Arial"/>
          <w:sz w:val="16"/>
          <w:szCs w:val="16"/>
          <w:color w:val="auto"/>
        </w:rPr>
        <w:t>The application for orphan drug designation must be submitted before the MAA. Orphan designation entitles a party to incentives such fee reductions or fee waivers, protocol assistance, and access to the centralized procedure. Upon grant of a MA, orphan medicinal products are entitled to ten years of market exclusivity for the approved therapeutic indication.</w:t>
      </w:r>
    </w:p>
    <w:p>
      <w:pPr>
        <w:spacing w:after="0" w:line="2" w:lineRule="exact"/>
        <w:rPr>
          <w:sz w:val="20"/>
          <w:szCs w:val="20"/>
          <w:color w:val="auto"/>
        </w:rPr>
      </w:pPr>
    </w:p>
    <w:p>
      <w:pPr>
        <w:ind w:left="60" w:right="59"/>
        <w:spacing w:after="0" w:line="252" w:lineRule="auto"/>
        <w:rPr>
          <w:sz w:val="20"/>
          <w:szCs w:val="20"/>
          <w:color w:val="auto"/>
        </w:rPr>
      </w:pPr>
      <w:r>
        <w:rPr>
          <w:rFonts w:ascii="Arial" w:cs="Arial" w:eastAsia="Arial" w:hAnsi="Arial"/>
          <w:sz w:val="18"/>
          <w:szCs w:val="18"/>
          <w:color w:val="auto"/>
        </w:rPr>
        <w:t>During the ten-year market exclusivity period, the competent authorities cannot accept a MAA, or grant a MA, or accept an application to extend a MA, for the same indication, in respect of a similar medicinal product.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194"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192"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seizures, suspension, withdrawal or variation of the MA, total or partial suspension of production, distribution, manufacturing or clinical trials, operating restrictions, injunctions, suspension of licenses, fines and criminal penalties.</w:t>
      </w:r>
    </w:p>
    <w:p>
      <w:pPr>
        <w:spacing w:after="0" w:line="124"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170"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The United Kingdom (“UK”) left the EU on January 31, 2020, following which existing EU medicinal product legislation continued to apply in the UK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(“TCA”) and became effective on the January 1, 2021. The TCA includes specific provisions concerning pharmaceuticals, which include the mutual recognition of Good Manufacturing Practice (“GMP”) inspections of manufacturing facilities for medicinal products and GMP documents issued, but does not foresee wholesale mutual recognition of UK and EU pharmaceutical regulations.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Foreign Regulations</w:t>
      </w:r>
    </w:p>
    <w:p>
      <w:pPr>
        <w:spacing w:after="0" w:line="225"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For other countries outside of Europe,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71"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In the EU, in vitro diagnostic medical devices are regulated by Directive 98/79/EC which regulates the placing on the market, the CE marking, the essential requirements, the conformity assessment procedures, the registration obligations for manufacturers and devices as well as the vigilance procedure. In vitro diagnostic medical devices must comply with the requirements provided for in the Directive, and with further requirements implemented at national level (as the case may be).</w:t>
      </w:r>
    </w:p>
    <w:p>
      <w:pPr>
        <w:spacing w:after="0" w:line="188"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 regulation of companion diagnostics will be subject to further requirements once the in-vitro medical diagnostic devices Regulation (No 2017/746) (“IVDR”) will become applicable on 26 May 2022. However, on October 14, 2021, the European Commission proposed a “progressive” roll-out of the IVDR to prevent disruption in the supply of in vitro diagnostic medical devices. The European Parliament and Council voted to adopt the proposed regulation on December 15, 2021 and the regulation entered into force on January 2022. The IVDR will fully apply on May 26, 2022 but there will be a tiered system extending the grace period for many devices (depending on their risk classification) before they have to be fully compliant with the regulation.</w:t>
      </w:r>
    </w:p>
    <w:p>
      <w:pPr>
        <w:spacing w:after="0" w:line="195" w:lineRule="exact"/>
        <w:rPr>
          <w:sz w:val="20"/>
          <w:szCs w:val="20"/>
          <w:color w:val="auto"/>
        </w:rPr>
      </w:pPr>
    </w:p>
    <w:p>
      <w:pPr>
        <w:ind w:left="60" w:right="79" w:firstLine="369"/>
        <w:spacing w:after="0" w:line="290" w:lineRule="auto"/>
        <w:rPr>
          <w:sz w:val="20"/>
          <w:szCs w:val="20"/>
          <w:color w:val="auto"/>
        </w:rPr>
      </w:pPr>
      <w:r>
        <w:rPr>
          <w:rFonts w:ascii="Arial" w:cs="Arial" w:eastAsia="Arial" w:hAnsi="Arial"/>
          <w:sz w:val="16"/>
          <w:szCs w:val="16"/>
          <w:color w:val="auto"/>
        </w:rPr>
        <w:t>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MAA for the medicinal product has been submitted through the centralized procedure. For other substances, the notified body can seek the opinion from a national competent authorities or the EMA.</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aforementioned EU rules are generally applicable in the EEA.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drug products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In 2003, the U.S. government enacted legislation providing a partial prescription drug benefit for Medicare beneficiaries,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w:t>
      </w:r>
    </w:p>
    <w:p>
      <w:pPr>
        <w:spacing w:after="0" w:line="161"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Further, in March 2010, the Patient Protection and Affordable Care Act, as amended by the Health Care and Education Reconciliation Act, or ACA, was enacted and the Healthcare Reform Law substantially changes the way healthcare is financed in the United States by both government and private insurers. Among other cost containment measures, the ACA established:</w:t>
      </w:r>
    </w:p>
    <w:p>
      <w:pPr>
        <w:spacing w:after="0" w:line="187" w:lineRule="exact"/>
        <w:rPr>
          <w:sz w:val="20"/>
          <w:szCs w:val="20"/>
          <w:color w:val="auto"/>
        </w:rPr>
      </w:pPr>
    </w:p>
    <w:p>
      <w:pPr>
        <w:ind w:left="1040" w:right="299" w:hanging="639"/>
        <w:spacing w:after="0" w:line="258"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 w:lineRule="exact"/>
        <w:rPr>
          <w:rFonts w:ascii="Arial" w:cs="Arial" w:eastAsia="Arial" w:hAnsi="Arial"/>
          <w:sz w:val="18"/>
          <w:szCs w:val="18"/>
          <w:color w:val="auto"/>
        </w:rPr>
      </w:pPr>
    </w:p>
    <w:p>
      <w:pPr>
        <w:jc w:val="both"/>
        <w:ind w:left="1040" w:right="99" w:hanging="639"/>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or the “donut hole”; and</w:t>
      </w:r>
    </w:p>
    <w:p>
      <w:pPr>
        <w:spacing w:after="0" w:line="1" w:lineRule="exact"/>
        <w:rPr>
          <w:rFonts w:ascii="Arial" w:cs="Arial" w:eastAsia="Arial" w:hAnsi="Arial"/>
          <w:sz w:val="18"/>
          <w:szCs w:val="18"/>
          <w:color w:val="auto"/>
        </w:rPr>
      </w:pPr>
    </w:p>
    <w:p>
      <w:pPr>
        <w:ind w:left="1040" w:hanging="63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new formula that increases the rebates a manufacturer must pay under the Medicaid Drug Rebate Program.</w:t>
      </w:r>
    </w:p>
    <w:p>
      <w:pPr>
        <w:spacing w:after="0" w:line="23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United States Supreme Court dismissed the judicial challenge to the ACA without specifically ruling on the constitutionality of the ACA. Prior to the United States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we expect that federal, state and local governments in the United States will continue to consider legislation to limit the growth of healthcare costs, including the cost of prescription drugs. Future legislation could limit payments for pharmaceuticals such as the product candidates that we are developing.</w:t>
      </w:r>
    </w:p>
    <w:p>
      <w:pPr>
        <w:spacing w:after="0" w:line="182"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w:t>
      </w:r>
    </w:p>
    <w:p>
      <w:pPr>
        <w:spacing w:after="0" w:line="178" w:lineRule="exact"/>
        <w:rPr>
          <w:sz w:val="20"/>
          <w:szCs w:val="20"/>
          <w:color w:val="auto"/>
        </w:rPr>
      </w:pPr>
    </w:p>
    <w:p>
      <w:pPr>
        <w:ind w:left="60" w:right="219" w:firstLine="324"/>
        <w:spacing w:after="0" w:line="268"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managed care in the United States has increased and we expect will continue to increase the pressure on pharmaceutical pricing. Coverage policies and third-party reimbursement rates may change at any time. Even if favorable coverage and reimbursement status is secured for one or more products for which we receive regulatory approval, less favorable coverage policies and reimbursement rates may be implemented in the future.</w:t>
      </w:r>
    </w:p>
    <w:p>
      <w:pPr>
        <w:spacing w:after="0" w:line="1"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In order to raise sufficient financial resources to continue to advance our product candidates, we will need to address pricing pressures and potential third-party reimbursement coverage for our product candidates. In the United States and elsewhere, sales of pharmaceutical products depend in significant part on the availability of reimbursement to the consumer from third party payors, such as government and private insurance plans. Third party payors are increasingly challenging the prices charged for medical products and services. It is and will continue to be time consuming and expensive for us or our strategic collaborators to go through the process of seeking reimbursement from Medicare and private payors. Our products may not be considered cost effective, and coverage and reimbursement may not be available or sufficient to allow us to sell our products on a competitive and profitable basis.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If we obtain regulatory approval for any of our product candidates, we may be subject to various federal, state and foreign laws targeting fraud and abuse in the healthcare industry. Such laws include, without limitation, U.S. federal and state anti-kickback, fraud and abuse, false claims, consumer fraud, data privacy and security, and transparency laws and regulations with respect to drug pricing and payments and other transfers of value made to physicians and other healthcare professionals, as well as similar foreign laws in the jurisdictions outside the U.S.</w:t>
      </w:r>
    </w:p>
    <w:p>
      <w:pPr>
        <w:spacing w:after="0" w:line="176"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A person or entity does not need to have actual knowledge of this statute or specific intent to violate it in order to have committed a violation. Many states have adopted laws similar to the federal Anti-Kickback Statute, some of which apply to the referral of patients for healthcare items or services reimbursed by any source, not only the Medicare and Medicaid programs.</w:t>
      </w:r>
    </w:p>
    <w:p>
      <w:pPr>
        <w:spacing w:after="0" w:line="177"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federal False Claims Act imposes liability on any person who, among other things, knowingly presents, or causes to be presented, a false or fraudulent claim for payment by a federal healthcare program. In addition, the government may assert that a claim including items or services resulting from a violation of the federal Anti-Kickback Statute constitutes a false or fraudulent claim for purposes of the False Claims Act. The “qui tam” provisions of the False Claims Act allow a private individual to bring civil actions on behalf of the federal government alleging that the defendant has submitted a false claim to the federal government, and to share in any monetary recovery. In addition, various states have enacted false claims laws analogous to the False Claims Act. Many of these state laws apply where a claim is submitted to any third-party payer and not merely a federal healthcare program. When an entity is determined to have violated the False Claims Act, it may be required to pay up to three times the actual damages sustained by the government, plus significant civil penalties for each separate false claim.</w:t>
      </w:r>
    </w:p>
    <w:p>
      <w:pPr>
        <w:spacing w:after="0" w:line="185" w:lineRule="exact"/>
        <w:rPr>
          <w:sz w:val="20"/>
          <w:szCs w:val="20"/>
          <w:color w:val="auto"/>
        </w:rPr>
      </w:pPr>
    </w:p>
    <w:p>
      <w:pPr>
        <w:ind w:left="60" w:right="459" w:firstLine="324"/>
        <w:spacing w:after="0" w:line="311" w:lineRule="auto"/>
        <w:rPr>
          <w:sz w:val="20"/>
          <w:szCs w:val="20"/>
          <w:color w:val="auto"/>
        </w:rPr>
      </w:pPr>
      <w:r>
        <w:rPr>
          <w:rFonts w:ascii="Arial" w:cs="Arial" w:eastAsia="Arial" w:hAnsi="Arial"/>
          <w:sz w:val="16"/>
          <w:szCs w:val="16"/>
          <w:color w:val="auto"/>
        </w:rPr>
        <w:t>Also, the Health Insurance Portability and Accountability Act of 1996 (“HIPAA”), created several federal crimes, including healthcare fraud, and false statements relating to healthcare matters. The health care fraud statute prohibits knowingly and willfully executing a scheme to defraud any health care benefit program, including private third-party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payers. The false statements statute prohibits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this statute or specific intent to violate it in order to have committed a violation.</w:t>
      </w:r>
    </w:p>
    <w:p>
      <w:pPr>
        <w:spacing w:after="0" w:line="171"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The Physician Payment Sunshine Act, or the Sunshine Act, which was enacted as part of the ACA, requires applicable manufacturers of drugs, devices, biologicals, or medical supplies covered under Medicare, Medicaid or the Children’s Health Insurance Program, to report annually to the Secretary of the Department of Health and Human Services payments or other transfers of value made by that entity, or by a third party as directed by that entity, to physicians (defined to include doctors, dentists, optometrists, podiatrists and chiropractors), certain non-physician providers including physician assistants and nurse practitioners, and teaching hospitals, or to third parties on behalf of such providers, as well as ownership and investment interests held by physicians and their immediate family members during the course of the preceding calendar year. Failure to comply with the reporting requirements can result in significant civil monetary penalties for any payment or other transfer of value that is not reported.</w:t>
      </w:r>
    </w:p>
    <w:p>
      <w:pPr>
        <w:spacing w:after="0" w:line="181"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Moreover, analogous state and foreign laws and regulations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many of which differ from each other in significant ways, thus further complicating compliance efforts; and restrict marketing practices or require disclosure of marketing expenditures and pricing information.</w:t>
      </w:r>
    </w:p>
    <w:p>
      <w:pPr>
        <w:spacing w:after="0" w:line="164" w:lineRule="exact"/>
        <w:rPr>
          <w:sz w:val="20"/>
          <w:szCs w:val="20"/>
          <w:color w:val="auto"/>
        </w:rPr>
      </w:pPr>
    </w:p>
    <w:p>
      <w:pPr>
        <w:ind w:left="60" w:right="419" w:firstLine="324"/>
        <w:spacing w:after="0" w:line="279" w:lineRule="auto"/>
        <w:rPr>
          <w:sz w:val="20"/>
          <w:szCs w:val="20"/>
          <w:color w:val="auto"/>
        </w:rPr>
      </w:pPr>
      <w:r>
        <w:rPr>
          <w:rFonts w:ascii="Arial" w:cs="Arial" w:eastAsia="Arial" w:hAnsi="Arial"/>
          <w:sz w:val="17"/>
          <w:szCs w:val="17"/>
          <w:color w:val="auto"/>
        </w:rPr>
        <w:t>Violations of any of these laws or any other governmental laws and regulations that may apply include, without limitation,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&amp; Security</w:t>
      </w:r>
    </w:p>
    <w:p>
      <w:pPr>
        <w:spacing w:after="0" w:line="22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and the EU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Additionally, our use of artificial intelligence and machine learning may be subject to laws and evolving regulations regarding the use of artificial intelligence/machine learning, controlling for data bias, and antidiscrimination.</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i w:val="1"/>
          <w:iCs w:val="1"/>
          <w:color w:val="auto"/>
        </w:rPr>
        <w:t>Our Employees</w:t>
      </w:r>
      <w:r>
        <w:rPr>
          <w:rFonts w:ascii="Arial" w:cs="Arial" w:eastAsia="Arial" w:hAnsi="Arial"/>
          <w:sz w:val="16"/>
          <w:szCs w:val="16"/>
          <w:color w:val="auto"/>
        </w:rPr>
        <w:t>. We have grown to a team of 89 employees as of December 31, 2021, all of whom were employed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U.S. Our highly qualified and experienced team includes scientists, physicians and professionals across sales,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marketing, manufacturing, regulatory, finance and other important functions that are critical to our success. We also leverage certain experts in drug development employed by BioXcel LLC to provide flexibility for our business needs.</w:t>
      </w:r>
    </w:p>
    <w:p>
      <w:pPr>
        <w:spacing w:after="0" w:line="124"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We expect to continue to hire additional employees in 2022 with a focus on expanding our expertise and bandwidth in clinical and preclinical research and development, marketing and sales and finance. We continually evaluate our business needs and opportunities.</w:t>
      </w:r>
    </w:p>
    <w:p>
      <w:pPr>
        <w:spacing w:after="0" w:line="184"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i w:val="1"/>
          <w:iCs w:val="1"/>
          <w:color w:val="auto"/>
        </w:rPr>
        <w:t>Our Culture</w:t>
      </w:r>
      <w:r>
        <w:rPr>
          <w:rFonts w:ascii="Arial" w:cs="Arial" w:eastAsia="Arial" w:hAnsi="Arial"/>
          <w:sz w:val="16"/>
          <w:szCs w:val="16"/>
          <w:color w:val="auto"/>
        </w:rPr>
        <w:t>. The success of our human capital management investments is evidenced by our low employee turnover,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which is regularly reviewed by our Board of Directors as part of their oversight of our human capital strategy.</w:t>
      </w:r>
    </w:p>
    <w:p>
      <w:pPr>
        <w:spacing w:after="0" w:line="124"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i w:val="1"/>
          <w:iCs w:val="1"/>
          <w:color w:val="auto"/>
        </w:rPr>
        <w:t>Employee Engagement, Talent Development &amp; Benefits</w:t>
      </w:r>
      <w:r>
        <w:rPr>
          <w:rFonts w:ascii="Arial" w:cs="Arial" w:eastAsia="Arial" w:hAnsi="Arial"/>
          <w:sz w:val="17"/>
          <w:szCs w:val="17"/>
          <w:color w:val="auto"/>
        </w:rPr>
        <w:t>. We believe that our future success largely depends upon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ability to attract and retain highly skilled employees. We provide our employees with competitive salaries, bonuses, opportunities for equity ownership and other comparable benefits for our industry.</w:t>
      </w:r>
    </w:p>
    <w:p>
      <w:pPr>
        <w:spacing w:after="0" w:line="16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i w:val="1"/>
          <w:iCs w:val="1"/>
          <w:color w:val="auto"/>
        </w:rPr>
        <w:t xml:space="preserve">Employee and Visitor Safety Protocols. </w:t>
      </w:r>
      <w:r>
        <w:rPr>
          <w:rFonts w:ascii="Arial" w:cs="Arial" w:eastAsia="Arial" w:hAnsi="Arial"/>
          <w:sz w:val="18"/>
          <w:szCs w:val="18"/>
          <w:color w:val="auto"/>
        </w:rPr>
        <w:t>The Company follows health and safety guidelines to protect the well-being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employees and visitors.</w:t>
      </w:r>
    </w:p>
    <w:p>
      <w:pPr>
        <w:spacing w:after="0" w:line="170" w:lineRule="exact"/>
        <w:rPr>
          <w:sz w:val="20"/>
          <w:szCs w:val="20"/>
          <w:color w:val="auto"/>
        </w:rPr>
      </w:pPr>
    </w:p>
    <w:p>
      <w:pPr>
        <w:jc w:val="both"/>
        <w:ind w:left="60" w:right="219" w:firstLine="324"/>
        <w:spacing w:after="0" w:line="301" w:lineRule="auto"/>
        <w:rPr>
          <w:sz w:val="20"/>
          <w:szCs w:val="20"/>
          <w:color w:val="auto"/>
        </w:rPr>
      </w:pPr>
      <w:r>
        <w:rPr>
          <w:rFonts w:ascii="Arial" w:cs="Arial" w:eastAsia="Arial" w:hAnsi="Arial"/>
          <w:sz w:val="16"/>
          <w:szCs w:val="16"/>
          <w:i w:val="1"/>
          <w:iCs w:val="1"/>
          <w:color w:val="auto"/>
        </w:rPr>
        <w:t>Diversity &amp; Inclusion</w:t>
      </w:r>
      <w:r>
        <w:rPr>
          <w:rFonts w:ascii="Arial" w:cs="Arial" w:eastAsia="Arial" w:hAnsi="Arial"/>
          <w:sz w:val="16"/>
          <w:szCs w:val="16"/>
          <w:color w:val="auto"/>
        </w:rPr>
        <w:t>. Much of our success is rooted in the diversity of our teams and our commitment to inclusion.</w:t>
      </w:r>
      <w:r>
        <w:rPr>
          <w:rFonts w:ascii="Arial" w:cs="Arial" w:eastAsia="Arial" w:hAnsi="Arial"/>
          <w:sz w:val="16"/>
          <w:szCs w:val="16"/>
          <w:i w:val="1"/>
          <w:iCs w:val="1"/>
          <w:color w:val="auto"/>
        </w:rPr>
        <w:t xml:space="preserve"> </w:t>
      </w:r>
      <w:r>
        <w:rPr>
          <w:rFonts w:ascii="Arial" w:cs="Arial" w:eastAsia="Arial" w:hAnsi="Arial"/>
          <w:sz w:val="16"/>
          <w:szCs w:val="16"/>
          <w:color w:val="auto"/>
        </w:rPr>
        <w:t>We value diversity at all levels and continue to focus on extending our diversity and inclusion initiatives across our entire workforce. We believe that our business benefits from the different perspectives a diverse workforce brings, and we pride ourselves on having a strong, inclusive and positive culture based on our shared mission and values.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60" w:right="199" w:firstLine="500"/>
        <w:spacing w:after="0" w:line="308" w:lineRule="auto"/>
        <w:rPr>
          <w:sz w:val="20"/>
          <w:szCs w:val="20"/>
          <w:color w:val="auto"/>
        </w:rPr>
      </w:pPr>
      <w:r>
        <w:rPr>
          <w:rFonts w:ascii="Arial" w:cs="Arial" w:eastAsia="Arial" w:hAnsi="Arial"/>
          <w:sz w:val="17"/>
          <w:szCs w:val="17"/>
          <w:color w:val="auto"/>
        </w:rPr>
        <w:t>The Company was incorporated as a Delaware corporation on March 29, 2017. Our principal executive offices are located at 555 Long Wharf Drive, New Haven, CT 06511 and our telephone number is (475) 238-6837.</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59" w:firstLine="500"/>
        <w:spacing w:after="0" w:line="257" w:lineRule="auto"/>
        <w:rPr>
          <w:sz w:val="20"/>
          <w:szCs w:val="20"/>
          <w:color w:val="auto"/>
        </w:rPr>
      </w:pPr>
      <w:r>
        <w:rPr>
          <w:rFonts w:ascii="Arial" w:cs="Arial" w:eastAsia="Arial" w:hAnsi="Arial"/>
          <w:sz w:val="18"/>
          <w:szCs w:val="18"/>
          <w:color w:val="auto"/>
        </w:rPr>
        <w:t>Our website address is www.bioxceltherapeutics.com.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available free of charge on our website as soon as reasonably practicable after we file such reports with, or furnish such reports to, the SEC.</w:t>
      </w:r>
    </w:p>
    <w:p>
      <w:pPr>
        <w:spacing w:after="0" w:line="188" w:lineRule="exact"/>
        <w:rPr>
          <w:sz w:val="20"/>
          <w:szCs w:val="20"/>
          <w:color w:val="auto"/>
        </w:rPr>
      </w:pPr>
    </w:p>
    <w:p>
      <w:pPr>
        <w:ind w:left="60" w:right="279" w:firstLine="500"/>
        <w:spacing w:after="0" w:line="275"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Investors sections of its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News / Events menu of the Investors section of our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176" w:lineRule="exact"/>
        <w:rPr>
          <w:sz w:val="20"/>
          <w:szCs w:val="20"/>
          <w:color w:val="auto"/>
        </w:rPr>
      </w:pPr>
    </w:p>
    <w:p>
      <w:pPr>
        <w:jc w:val="both"/>
        <w:ind w:left="60" w:right="139" w:firstLine="500"/>
        <w:spacing w:after="0" w:line="263" w:lineRule="auto"/>
        <w:rPr>
          <w:sz w:val="20"/>
          <w:szCs w:val="20"/>
          <w:color w:val="auto"/>
        </w:rPr>
      </w:pPr>
      <w:r>
        <w:rPr>
          <w:rFonts w:ascii="Arial" w:cs="Arial" w:eastAsia="Arial" w:hAnsi="Arial"/>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We were incorporated in March 2017 and our operations to date have been largely focused on staffing our company, raising capital and advancing the development of, our product candidates, including conducting clinical and preclinical studies. We have not yet demonstrated an ability to successfully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64"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57"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Since our inception, we have incurred significant operating losses. Our net loss was $107.2 million and $82.2 million for the years ended December 31, 2021 and 2020 respectively. As of December 31, 2021, we had stockholders’ equity of $221.4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65"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pacing w:after="0" w:line="170"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78"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4"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70"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4"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We anticipate that our expenses will increase substantially if and as we continue to develop and conduct clinical trials with respect to BXCL501, BXCL701, BXCL502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68"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We expect that our cash and cash equivalents as of December 31, 2021 will be sufficient to fund our ongoing research and development efforts and commercialization preparation for at least twelve months from the date of the issuance of the financial statements included in this Annual Report on Form 10-K. We will be required to expend significant funds in order to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 also adversely impact our ability to access capital as and when needed. Our failure to raise capital as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when needed would have a negative impact on our financial condition and our ability to pursue our business strategy.</w:t>
      </w:r>
    </w:p>
    <w:p>
      <w:pPr>
        <w:spacing w:after="0" w:line="248"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76" w:lineRule="exact"/>
        <w:rPr>
          <w:sz w:val="20"/>
          <w:szCs w:val="20"/>
          <w:color w:val="auto"/>
        </w:rPr>
      </w:pPr>
    </w:p>
    <w:p>
      <w:pPr>
        <w:ind w:left="1040" w:right="33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BXCL502 and our other product candidates;</w:t>
      </w:r>
    </w:p>
    <w:p>
      <w:pPr>
        <w:spacing w:after="0" w:line="62"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117" w:lineRule="exact"/>
        <w:rPr>
          <w:rFonts w:ascii="Arial" w:cs="Arial" w:eastAsia="Arial" w:hAnsi="Arial"/>
          <w:sz w:val="18"/>
          <w:szCs w:val="18"/>
          <w:color w:val="auto"/>
        </w:rPr>
      </w:pPr>
    </w:p>
    <w:p>
      <w:pPr>
        <w:ind w:left="1040" w:right="119" w:hanging="315"/>
        <w:spacing w:after="0" w:line="286"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57" w:lineRule="exact"/>
        <w:rPr>
          <w:rFonts w:ascii="Arial" w:cs="Arial" w:eastAsia="Arial" w:hAnsi="Arial"/>
          <w:sz w:val="17"/>
          <w:szCs w:val="17"/>
          <w:color w:val="auto"/>
        </w:rPr>
      </w:pPr>
    </w:p>
    <w:p>
      <w:pPr>
        <w:ind w:left="1040" w:right="13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establish a commercial infrastructure;</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117"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physician acceptance or medical society recommendations that may affect commercial efforts;</w:t>
      </w:r>
    </w:p>
    <w:p>
      <w:pPr>
        <w:spacing w:after="0" w:line="140" w:lineRule="exact"/>
        <w:rPr>
          <w:rFonts w:ascii="Arial" w:cs="Arial" w:eastAsia="Arial" w:hAnsi="Arial"/>
          <w:sz w:val="16"/>
          <w:szCs w:val="16"/>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have limited experience in drug discovery and drug development, and we have never had a drug approved.</w:t>
      </w:r>
    </w:p>
    <w:p>
      <w:pPr>
        <w:spacing w:after="0" w:line="248"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b w:val="1"/>
          <w:bCs w:val="1"/>
          <w:i w:val="1"/>
          <w:iCs w:val="1"/>
          <w:color w:val="auto"/>
        </w:rPr>
        <w:t>In the near term, we are dependent on the success of BXCL501, BXCL701 and BXCL502. If we are unable to complete the clinical development of, obtain marketing approval for or successfully commercialize BXCL501, BXCL701, BXCL502 and our other product candidates, either alone or with a collaborator, or if we experience significant delays in doing so, our business could be substantially harmed.</w:t>
      </w:r>
    </w:p>
    <w:p>
      <w:pPr>
        <w:spacing w:after="0" w:line="171"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We currently do not have any products that have received regulatory approval and may never be able to develop marketable product candidates. We are investing a significant portion of our efforts and financial resources in the development of BXCL501 and BXCL701, as well as our other product candidates, including BXCL502. Our prospects are substantially dependent on our ability, or that of any future collaborator, to develop, obtain marketing approval for and successfully commercialize product candidates in one or more disease indications.</w:t>
      </w:r>
    </w:p>
    <w:p>
      <w:pPr>
        <w:spacing w:after="0" w:line="176"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The success of BXCL501, BXCL701, BXCL502 and our other product candidates will depend on several factors, including the following:</w:t>
      </w:r>
    </w:p>
    <w:p>
      <w:pPr>
        <w:spacing w:after="0" w:line="170" w:lineRule="exact"/>
        <w:rPr>
          <w:sz w:val="20"/>
          <w:szCs w:val="20"/>
          <w:color w:val="auto"/>
        </w:rPr>
      </w:pPr>
    </w:p>
    <w:p>
      <w:pPr>
        <w:ind w:left="1040" w:right="23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an IND application by the FDA or acceptance of comparable applications by foreign regulatory authorities allowing us to conduct clinical trials of our product candidates in the United States or in foreign jurisdictions;</w:t>
      </w:r>
    </w:p>
    <w:p>
      <w:pPr>
        <w:spacing w:after="0" w:line="7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62" w:lineRule="exact"/>
        <w:rPr>
          <w:rFonts w:ascii="Arial" w:cs="Arial" w:eastAsia="Arial" w:hAnsi="Arial"/>
          <w:sz w:val="18"/>
          <w:szCs w:val="18"/>
          <w:color w:val="auto"/>
        </w:rPr>
      </w:pPr>
    </w:p>
    <w:p>
      <w:pPr>
        <w:ind w:left="1040" w:right="7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117"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17" w:lineRule="exact"/>
        <w:rPr>
          <w:rFonts w:ascii="Arial" w:cs="Arial" w:eastAsia="Arial" w:hAnsi="Arial"/>
          <w:sz w:val="18"/>
          <w:szCs w:val="18"/>
          <w:color w:val="auto"/>
        </w:rPr>
      </w:pPr>
    </w:p>
    <w:p>
      <w:pPr>
        <w:ind w:left="1040" w:right="75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62" w:lineRule="exact"/>
        <w:rPr>
          <w:rFonts w:ascii="Arial" w:cs="Arial" w:eastAsia="Arial" w:hAnsi="Arial"/>
          <w:sz w:val="18"/>
          <w:szCs w:val="18"/>
          <w:color w:val="auto"/>
        </w:rPr>
      </w:pPr>
    </w:p>
    <w:p>
      <w:pPr>
        <w:ind w:left="1040" w:right="93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62"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1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then-available data, and the results and related findings and conclusions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5"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8"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40" w:right="11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62"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81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40" w:right="179" w:hanging="315"/>
        <w:spacing w:after="0" w:line="25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comparable foreign regulatory pathways;</w:t>
      </w:r>
    </w:p>
    <w:p>
      <w:pPr>
        <w:spacing w:after="0" w:line="79" w:lineRule="exact"/>
        <w:rPr>
          <w:rFonts w:ascii="Arial" w:cs="Arial" w:eastAsia="Arial" w:hAnsi="Arial"/>
          <w:sz w:val="18"/>
          <w:szCs w:val="18"/>
          <w:color w:val="auto"/>
        </w:rPr>
      </w:pPr>
    </w:p>
    <w:p>
      <w:pPr>
        <w:ind w:left="1040" w:right="379" w:hanging="315"/>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40" w:right="979" w:hanging="315"/>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38"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2"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We have only submitted one NDA to the FDA, which is currently under review, and have not submitted any similar marketing applications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81"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the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w:t>
      </w:r>
    </w:p>
    <w:p>
      <w:pPr>
        <w:spacing w:after="0" w:line="174"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impacted.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Clinical trials are expensive, time-consuming and difficult to design and implement, and involve an uncertain outcome.</w:t>
      </w:r>
    </w:p>
    <w:p>
      <w:pPr>
        <w:spacing w:after="0" w:line="260"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81" w:lineRule="exact"/>
        <w:rPr>
          <w:sz w:val="20"/>
          <w:szCs w:val="20"/>
          <w:color w:val="auto"/>
        </w:rPr>
      </w:pPr>
    </w:p>
    <w:p>
      <w:pPr>
        <w:ind w:left="1040" w:right="23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62" w:lineRule="exact"/>
        <w:rPr>
          <w:rFonts w:ascii="Arial" w:cs="Arial" w:eastAsia="Arial" w:hAnsi="Arial"/>
          <w:sz w:val="18"/>
          <w:szCs w:val="18"/>
          <w:color w:val="auto"/>
        </w:rPr>
      </w:pPr>
    </w:p>
    <w:p>
      <w:pPr>
        <w:ind w:left="1040" w:right="49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consensus with regulatory authorities on trial designs;</w:t>
      </w:r>
    </w:p>
    <w:p>
      <w:pPr>
        <w:spacing w:after="0" w:line="62" w:lineRule="exact"/>
        <w:rPr>
          <w:rFonts w:ascii="Arial" w:cs="Arial" w:eastAsia="Arial" w:hAnsi="Arial"/>
          <w:sz w:val="18"/>
          <w:szCs w:val="18"/>
          <w:color w:val="auto"/>
        </w:rPr>
      </w:pPr>
    </w:p>
    <w:p>
      <w:pPr>
        <w:jc w:val="both"/>
        <w:ind w:left="1040" w:right="4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healthcare resources to combat epidemics, such as the COVID-19 pandemic;</w:t>
      </w:r>
    </w:p>
    <w:p>
      <w:pPr>
        <w:spacing w:after="0" w:line="117"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 or independent ethics committee, or IEC, approval at any sites outside the United States;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dependence on the needs and timing of third party collaborators;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occurrence of serious adverse events in trials of the same class of agents conducted by other companies or institutions;</w:t>
      </w:r>
    </w:p>
    <w:p>
      <w:pPr>
        <w:spacing w:after="0" w:line="62"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62" w:lineRule="exact"/>
        <w:rPr>
          <w:rFonts w:ascii="Arial" w:cs="Arial" w:eastAsia="Arial" w:hAnsi="Arial"/>
          <w:sz w:val="18"/>
          <w:szCs w:val="18"/>
          <w:color w:val="auto"/>
        </w:rPr>
      </w:pPr>
    </w:p>
    <w:p>
      <w:pPr>
        <w:ind w:left="1040" w:right="159" w:hanging="315"/>
        <w:spacing w:after="0" w:line="279"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63" w:lineRule="exact"/>
        <w:rPr>
          <w:rFonts w:ascii="Arial" w:cs="Arial" w:eastAsia="Arial" w:hAnsi="Arial"/>
          <w:sz w:val="17"/>
          <w:szCs w:val="17"/>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17" w:lineRule="exact"/>
        <w:rPr>
          <w:rFonts w:ascii="Arial" w:cs="Arial" w:eastAsia="Arial" w:hAnsi="Arial"/>
          <w:sz w:val="18"/>
          <w:szCs w:val="18"/>
          <w:color w:val="auto"/>
        </w:rPr>
      </w:pPr>
    </w:p>
    <w:p>
      <w:pPr>
        <w:ind w:left="1040" w:right="279" w:hanging="315"/>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 or</w:t>
      </w:r>
    </w:p>
    <w:p>
      <w:pPr>
        <w:spacing w:after="0" w:line="75" w:lineRule="exact"/>
        <w:rPr>
          <w:rFonts w:ascii="Arial" w:cs="Arial" w:eastAsia="Arial" w:hAnsi="Arial"/>
          <w:sz w:val="18"/>
          <w:szCs w:val="18"/>
          <w:color w:val="auto"/>
        </w:rPr>
      </w:pPr>
    </w:p>
    <w:p>
      <w:pPr>
        <w:ind w:left="1040" w:right="259" w:hanging="315"/>
        <w:spacing w:after="0" w:line="25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96"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For example, in April 2021, PLACIDITY enrollment was voluntarily paused to assess challenges posed in opening relevant clinical sites and enrolling delirium patients in the ICU settings, including as a result of the burden COVID-19 has placed on the ICU.</w:t>
      </w:r>
    </w:p>
    <w:p>
      <w:pPr>
        <w:spacing w:after="0" w:line="157"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66"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economic risks relevant to such foreign countries. For example, if the current conflict between Russia and Ukraine spreads to other regions, it may adversely impact our ability to conduct trials.</w:t>
      </w:r>
    </w:p>
    <w:p>
      <w:pPr>
        <w:spacing w:after="0" w:line="170"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390"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BXCL502 and our other product candidates in patients, in many cases, is still in the early stages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4"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128" w:lineRule="exact"/>
        <w:rPr>
          <w:rFonts w:ascii="Arial" w:cs="Arial" w:eastAsia="Arial" w:hAnsi="Arial"/>
          <w:sz w:val="17"/>
          <w:szCs w:val="17"/>
          <w:color w:val="auto"/>
        </w:rPr>
      </w:pPr>
    </w:p>
    <w:p>
      <w:pPr>
        <w:ind w:left="1040" w:right="59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62" w:lineRule="exact"/>
        <w:rPr>
          <w:rFonts w:ascii="Arial" w:cs="Arial" w:eastAsia="Arial" w:hAnsi="Arial"/>
          <w:sz w:val="18"/>
          <w:szCs w:val="18"/>
          <w:color w:val="auto"/>
        </w:rPr>
      </w:pPr>
    </w:p>
    <w:p>
      <w:pPr>
        <w:ind w:left="1040" w:right="85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implement Risk Evaluation and Mitigation Strategies, or REMS, or create a medication guide outlining the risks of such side effects for distribution to patients, or similar risk management measures;</w:t>
      </w:r>
    </w:p>
    <w:p>
      <w:pPr>
        <w:spacing w:after="0" w:line="7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4" w:lineRule="exact"/>
        <w:rPr>
          <w:sz w:val="20"/>
          <w:szCs w:val="20"/>
          <w:color w:val="auto"/>
        </w:rPr>
      </w:pPr>
    </w:p>
    <w:p>
      <w:pPr>
        <w:jc w:val="both"/>
        <w:ind w:left="60" w:right="559"/>
        <w:spacing w:after="0" w:line="342" w:lineRule="auto"/>
        <w:rPr>
          <w:sz w:val="20"/>
          <w:szCs w:val="20"/>
          <w:color w:val="auto"/>
        </w:rPr>
      </w:pPr>
      <w:r>
        <w:rPr>
          <w:rFonts w:ascii="Arial" w:cs="Arial" w:eastAsia="Arial" w:hAnsi="Arial"/>
          <w:sz w:val="16"/>
          <w:szCs w:val="16"/>
          <w:b w:val="1"/>
          <w:bCs w:val="1"/>
          <w:i w:val="1"/>
          <w:iCs w:val="1"/>
          <w:color w:val="auto"/>
        </w:rPr>
        <w:t>BioXcel LLC’s approach to the discovery and development of product candidates based on EvolverAI is novel and unproven, and we do not know whether we will be able to develop any products of commercial value.</w:t>
      </w:r>
    </w:p>
    <w:p>
      <w:pPr>
        <w:spacing w:after="0" w:line="12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We are leveraging BioXcel LLC’s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BioXcel LLC’s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BioXcel LLC’s EvolverAI may fail to help us discover and develop additional potential product candidates.</w:t>
      </w:r>
    </w:p>
    <w:p>
      <w:pPr>
        <w:spacing w:after="0" w:line="237" w:lineRule="exact"/>
        <w:rPr>
          <w:sz w:val="20"/>
          <w:szCs w:val="20"/>
          <w:color w:val="auto"/>
        </w:rPr>
      </w:pPr>
    </w:p>
    <w:p>
      <w:pPr>
        <w:ind w:left="60" w:right="419" w:firstLine="324"/>
        <w:spacing w:after="0" w:line="259" w:lineRule="auto"/>
        <w:rPr>
          <w:sz w:val="20"/>
          <w:szCs w:val="20"/>
          <w:color w:val="auto"/>
        </w:rPr>
      </w:pPr>
      <w:r>
        <w:rPr>
          <w:rFonts w:ascii="Arial" w:cs="Arial" w:eastAsia="Arial" w:hAnsi="Arial"/>
          <w:sz w:val="18"/>
          <w:szCs w:val="18"/>
          <w:color w:val="auto"/>
        </w:rPr>
        <w:t>Any drug discovery that we are conducting using BioXcel LLC’s EvolverAI may not be successful in identifying compounds that have commercial value or therapeutic utility. BioXcel LLC’s EvolverAI may initially show promise in identifying potential product candidates, yet fail to yield viable product candidates for clinical development or commercialization for a number of reasons, including:</w:t>
      </w:r>
    </w:p>
    <w:p>
      <w:pPr>
        <w:spacing w:after="0" w:line="187" w:lineRule="exact"/>
        <w:rPr>
          <w:sz w:val="20"/>
          <w:szCs w:val="20"/>
          <w:color w:val="auto"/>
        </w:rPr>
      </w:pPr>
    </w:p>
    <w:p>
      <w:pPr>
        <w:ind w:left="1040" w:right="159" w:hanging="315"/>
        <w:spacing w:after="0" w:line="275"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68" w:lineRule="exact"/>
        <w:rPr>
          <w:rFonts w:ascii="Arial" w:cs="Arial" w:eastAsia="Arial" w:hAnsi="Arial"/>
          <w:sz w:val="17"/>
          <w:szCs w:val="17"/>
          <w:color w:val="auto"/>
        </w:rPr>
      </w:pPr>
    </w:p>
    <w:p>
      <w:pPr>
        <w:ind w:left="1040" w:hanging="315"/>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compounds found through BioXcel LLC’s EvolverAI may not demonstrate efficacy, safety or tolerability;</w:t>
      </w:r>
    </w:p>
    <w:p>
      <w:pPr>
        <w:spacing w:after="0" w:line="128" w:lineRule="exact"/>
        <w:rPr>
          <w:rFonts w:ascii="Arial" w:cs="Arial" w:eastAsia="Arial" w:hAnsi="Arial"/>
          <w:sz w:val="17"/>
          <w:szCs w:val="17"/>
          <w:color w:val="auto"/>
        </w:rPr>
      </w:pPr>
    </w:p>
    <w:p>
      <w:pPr>
        <w:ind w:left="1040" w:right="799" w:hanging="315"/>
        <w:spacing w:after="0" w:line="26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7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117"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b w:val="1"/>
          <w:bCs w:val="1"/>
          <w:i w:val="1"/>
          <w:iCs w:val="1"/>
          <w:color w:val="auto"/>
        </w:rPr>
        <w:t>We have obtained Fast Track designation for BXCL501 for the acute treatment of mild-to-moderate agitation associated with schizophrenia, bipolar disorder, or dementia,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57"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have obtained Fast Track designation for BXCL501 for the acute treatment mild-to-moderate agitation associated with schizophrenia, bipolar disorder, or dementia, and we may seek Fast Track designation for other indications for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4"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We have obtained Breakthrough Therapy Designations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92"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spacing w:after="0" w:line="166" w:lineRule="exact"/>
        <w:rPr>
          <w:sz w:val="20"/>
          <w:szCs w:val="20"/>
          <w:color w:val="auto"/>
        </w:rPr>
      </w:pPr>
    </w:p>
    <w:p>
      <w:pPr>
        <w:ind w:left="60" w:right="79"/>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including BXCL501. The Hatch-Waxman Act added Section 505(b)(2) to the Federal Food, Drug and Cosmetic Act, or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71"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6"/>
          <w:szCs w:val="16"/>
          <w:color w:val="auto"/>
        </w:rPr>
        <w:t>.</w:t>
      </w:r>
    </w:p>
    <w:p>
      <w:pPr>
        <w:spacing w:after="0" w:line="157"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BXCL501. The process of obtaining or creating such diagnostic is time consuming and costly.</w:t>
      </w:r>
    </w:p>
    <w:p>
      <w:pPr>
        <w:spacing w:after="0" w:line="192"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88"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If the FDA or a comparable foreign regulatory authority requires approval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66"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Approval, clearance or certification of companion diagnostics may be subject to further legislative or regulatory reforms notably in the EU. On May 25, 2017, the new In Vitro Medical Devices Regulation (No 2017/746) or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will only become applicable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will fully apply on May 26, 2022 but there will be a tiered system extending the grace period for many devices (depending on their risk classification) before they have to be fully compliant with the regulation.</w:t>
      </w:r>
    </w:p>
    <w:p>
      <w:pPr>
        <w:spacing w:after="0" w:line="18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regulation of companion diagnostics in the EU will be subject to further requirements as of the entry into force of the IVDR which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authority or the EMA.</w:t>
      </w:r>
    </w:p>
    <w:p>
      <w:pPr>
        <w:spacing w:after="0" w:line="18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84"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for BXCL501, BXCL701, BXCL502 or any product candidate, we will still face extensive and ongoing regulatory requirements and obligations and any product candidates, if approved, may face future development and regulatory difficulties.</w:t>
      </w:r>
    </w:p>
    <w:p>
      <w:pPr>
        <w:spacing w:after="0" w:line="184"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continued compliance with cGMP or similar foreign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pacing w:after="0" w:line="16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candidate may be marketed or to the conditions of approval, including a requirement to implement a REMS or similar risk management measures. If any of our product candidates receives marketing approval, the accompanying label may limit the approved indicated use of the product candidate, which could limit sales of the product candidate. The FDA or foreign regulatory authorities may also impose requirements for costly post-marketing studies or clinical trials and surveillance to monitor the safety or efficacy of a product. Violations of the FDCA or similar foreign regulations relating to the promotion of prescription drugs may lead to FDA or foreign regulatory authority enforcement actions and investigations alleging violations of federal and state healthcare fraud and abuse laws, as well as state consumer protection laws.</w:t>
      </w:r>
    </w:p>
    <w:p>
      <w:pPr>
        <w:spacing w:after="0" w:line="181"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24" w:lineRule="exact"/>
        <w:rPr>
          <w:sz w:val="20"/>
          <w:szCs w:val="20"/>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United States or abroad.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U.S. federal government (and other foreign governments)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7"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72"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84"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1"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In addition to regulations in the United States, should we or our collaborators pursue marketing approvals for BXCL501, BXCL701, BXCL502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77"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We expect to pursue marketing approvals for BXCL501, BXCL701, BXCL502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61"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or the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96"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Since January 1, 2021, however the UK operates under a distinct regulatory regime to the EU. EU pharmaceutical laws only apply in respect of the UK to Northern Ireland (as set out in the Protocol on Ireland/Northern Ireland ). EU</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7" w:lineRule="auto"/>
        <w:rPr>
          <w:sz w:val="20"/>
          <w:szCs w:val="20"/>
          <w:color w:val="auto"/>
        </w:rPr>
      </w:pPr>
      <w:r>
        <w:rPr>
          <w:rFonts w:ascii="Arial" w:cs="Arial" w:eastAsia="Arial" w:hAnsi="Arial"/>
          <w:sz w:val="17"/>
          <w:szCs w:val="17"/>
          <w:color w:val="auto"/>
        </w:rPr>
        <w:t>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GMP, inspections of manufacturing facilities for medicinal products and 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or MHRA, launched an eight-week consultation on reframing the UK legislation for clinical trials. The consultation closes on 14 March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90"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marketing authorizations (Northern Ireland is covered by the centralized authorization procedure and can be covered under the decentralized or mutual recognition procedures). As of 1 January 2021, all existing centralized marketing authorizations were automatically converted into UK marketing authorizations effective in Great Britain and issued with a United Kingdom marketing authorization number on January 1, 2021 (unless marketing authorization holders opted out of this scheme). A separate marketing authorization is now required to market drugs in Great Britain. It is currently unclear whether the regulator in the UK, the MHRA is sufficiently prepared to handle the increased volume of marketing authorization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the Great Britain for our product candidates, which could significantly and materially harm our business. The UK’s withdrawal from the EU and the associated uncertainty has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38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Further, the UK’s withdrawal from the EU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b w:val="1"/>
          <w:bCs w:val="1"/>
          <w:i w:val="1"/>
          <w:iCs w:val="1"/>
          <w:color w:val="auto"/>
        </w:rPr>
        <w:t>If we are found in violation of federal, state or foreign “fraud and abuse” laws, we may be required to pay a penalty and/or be suspended from participation in federal or state health care programs, which may adversely affect our business, financial condition and results of operations.</w:t>
      </w:r>
    </w:p>
    <w:p>
      <w:pPr>
        <w:spacing w:after="0" w:line="184"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We may have to comply with similar laws and regulations outside the United States. These laws include:</w:t>
      </w:r>
    </w:p>
    <w:p>
      <w:pPr>
        <w:spacing w:after="0" w:line="171" w:lineRule="exact"/>
        <w:rPr>
          <w:sz w:val="20"/>
          <w:szCs w:val="20"/>
          <w:color w:val="auto"/>
        </w:rPr>
      </w:pPr>
    </w:p>
    <w:p>
      <w:pPr>
        <w:ind w:left="1040" w:right="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92" w:lineRule="exact"/>
        <w:rPr>
          <w:rFonts w:ascii="Arial" w:cs="Arial" w:eastAsia="Arial" w:hAnsi="Arial"/>
          <w:sz w:val="18"/>
          <w:szCs w:val="18"/>
          <w:color w:val="auto"/>
        </w:rPr>
      </w:pPr>
    </w:p>
    <w:p>
      <w:pPr>
        <w:ind w:left="1040" w:right="139" w:hanging="315"/>
        <w:spacing w:after="0" w:line="289"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66" w:lineRule="exact"/>
        <w:rPr>
          <w:rFonts w:ascii="Arial" w:cs="Arial" w:eastAsia="Arial" w:hAnsi="Arial"/>
          <w:sz w:val="16"/>
          <w:szCs w:val="16"/>
          <w:color w:val="auto"/>
        </w:rPr>
      </w:pPr>
    </w:p>
    <w:p>
      <w:pPr>
        <w:ind w:left="1040" w:right="79" w:hanging="315"/>
        <w:spacing w:after="0" w:line="25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94" w:lineRule="exact"/>
        <w:rPr>
          <w:rFonts w:ascii="Arial" w:cs="Arial" w:eastAsia="Arial" w:hAnsi="Arial"/>
          <w:sz w:val="18"/>
          <w:szCs w:val="18"/>
          <w:color w:val="auto"/>
        </w:rPr>
      </w:pPr>
    </w:p>
    <w:p>
      <w:pPr>
        <w:ind w:left="1040" w:right="139" w:hanging="315"/>
        <w:spacing w:after="0" w:line="301"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57" w:lineRule="exact"/>
        <w:rPr>
          <w:rFonts w:ascii="Arial" w:cs="Arial" w:eastAsia="Arial" w:hAnsi="Arial"/>
          <w:sz w:val="16"/>
          <w:szCs w:val="16"/>
          <w:color w:val="auto"/>
        </w:rPr>
      </w:pPr>
    </w:p>
    <w:p>
      <w:pPr>
        <w:ind w:left="1040" w:right="21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1040" w:right="119" w:hanging="315"/>
        <w:spacing w:after="0" w:line="291"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physician sunshine requirements under the ACA, which requires certain manufacturers of drugs, devices, biologics, and medical supplies to report annually to the Centers for Medicare &amp; Medicaid Services, or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other healthcare providers and their immediate family members;</w:t>
      </w:r>
    </w:p>
    <w:p>
      <w:pPr>
        <w:spacing w:after="0" w:line="166" w:lineRule="exact"/>
        <w:rPr>
          <w:rFonts w:ascii="Arial" w:cs="Arial" w:eastAsia="Arial" w:hAnsi="Arial"/>
          <w:sz w:val="16"/>
          <w:szCs w:val="16"/>
          <w:color w:val="auto"/>
        </w:rPr>
      </w:pPr>
    </w:p>
    <w:p>
      <w:pPr>
        <w:ind w:left="1040" w:right="339" w:hanging="315"/>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55" w:lineRule="auto"/>
        <w:rPr>
          <w:sz w:val="20"/>
          <w:szCs w:val="20"/>
          <w:color w:val="auto"/>
        </w:rPr>
      </w:pPr>
      <w:r>
        <w:rPr>
          <w:rFonts w:ascii="Arial" w:cs="Arial" w:eastAsia="Arial" w:hAnsi="Arial"/>
          <w:sz w:val="18"/>
          <w:szCs w:val="18"/>
          <w:color w:val="auto"/>
        </w:rPr>
        <w:t>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and; and</w:t>
      </w:r>
    </w:p>
    <w:p>
      <w:pPr>
        <w:spacing w:after="0" w:line="192" w:lineRule="exact"/>
        <w:rPr>
          <w:sz w:val="20"/>
          <w:szCs w:val="20"/>
          <w:color w:val="auto"/>
        </w:rPr>
      </w:pPr>
    </w:p>
    <w:p>
      <w:pPr>
        <w:ind w:left="1040" w:right="29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additional reporting obligations and oversight if we become subject to a corporate integrity agreement or other agreement to resolve allegations of non-compliance with these laws, and imprisonment, any of which could adversely affect our ability to market our products and adversely impact our financial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BXCL502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117"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17"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b w:val="1"/>
          <w:bCs w:val="1"/>
          <w:i w:val="1"/>
          <w:iCs w:val="1"/>
          <w:color w:val="auto"/>
        </w:rPr>
        <w:t>We have been granted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88"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color w:val="auto"/>
        </w:rPr>
        <w:t>Regulatory authorities in some jurisdictions, including the United States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w:t>
      </w:r>
    </w:p>
    <w:p>
      <w:pPr>
        <w:spacing w:after="0" w:line="6" w:lineRule="exact"/>
        <w:rPr>
          <w:sz w:val="20"/>
          <w:szCs w:val="20"/>
          <w:color w:val="auto"/>
        </w:rPr>
      </w:pPr>
    </w:p>
    <w:p>
      <w:pPr>
        <w:ind w:left="60" w:right="99" w:hanging="10"/>
        <w:spacing w:after="0" w:line="295" w:lineRule="auto"/>
        <w:tabs>
          <w:tab w:leader="none" w:pos="3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161"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disease or condition for seven years, except in limited circumstances the applicable exclusivity period is ten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 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indications or for our other product candidates. There can be no assurances that we will be able to obtain such designations.</w:t>
      </w:r>
    </w:p>
    <w:p>
      <w:pPr>
        <w:spacing w:after="0" w:line="186"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United States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disease or condition. Even after an orphan drug is approved, the FDA or foreign regulatory authorities can subsequently approve the same drug with the same active moiety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review or approval process, nor does it prevent competitors from obtaining approval of the same product candidate as ours for indications other than those in which we have been granted orphan drug designation.</w:t>
      </w:r>
    </w:p>
    <w:p>
      <w:pPr>
        <w:spacing w:after="0" w:line="170"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BXCL502 or any other product candidate.</w:t>
      </w:r>
    </w:p>
    <w:p>
      <w:pPr>
        <w:spacing w:after="0" w:line="170"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have no experience in marketing and selling drug products. We have not entered into arrangements for the sale and marketing of BXCL501, BXCL701, BXCL502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 and other jurisdictions.</w:t>
      </w:r>
    </w:p>
    <w:p>
      <w:pPr>
        <w:spacing w:after="0" w:line="177"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7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7"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4"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381" w:lineRule="auto"/>
        <w:rPr>
          <w:sz w:val="20"/>
          <w:szCs w:val="20"/>
          <w:color w:val="auto"/>
        </w:rPr>
      </w:pPr>
      <w:r>
        <w:rPr>
          <w:rFonts w:ascii="Arial" w:cs="Arial" w:eastAsia="Arial" w:hAnsi="Arial"/>
          <w:sz w:val="15"/>
          <w:szCs w:val="15"/>
          <w:b w:val="1"/>
          <w:bCs w:val="1"/>
          <w:i w:val="1"/>
          <w:iCs w:val="1"/>
          <w:color w:val="auto"/>
        </w:rPr>
        <w:t>Even if we obtain regulatory approvals to commercialize BXCL501, BXCL701, BXCL502 or our other product candidates, our product candidates may not be accepted by physicians or the medical community in general.</w:t>
      </w:r>
    </w:p>
    <w:p>
      <w:pPr>
        <w:spacing w:after="0" w:line="100"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There can be no assurance that BXCL501, BXCL701, BXCL502 and our other product candidates or any other product candidate successfully developed by us, independently or with partners, will be accepted by physicians, hospitals and other health care facilities. BXCL501, BXCL701, BXCL502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6" w:lineRule="exact"/>
        <w:rPr>
          <w:sz w:val="20"/>
          <w:szCs w:val="20"/>
          <w:color w:val="auto"/>
        </w:rPr>
      </w:pPr>
    </w:p>
    <w:p>
      <w:pPr>
        <w:ind w:left="60" w:right="299" w:firstLine="314"/>
        <w:spacing w:after="0" w:line="277" w:lineRule="auto"/>
        <w:tabs>
          <w:tab w:leader="none" w:pos="7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BXCL502 and our other product candidates;</w:t>
      </w:r>
    </w:p>
    <w:p>
      <w:pPr>
        <w:spacing w:after="0" w:line="170" w:lineRule="exact"/>
        <w:rPr>
          <w:rFonts w:ascii="Arial" w:cs="Arial" w:eastAsia="Arial" w:hAnsi="Arial"/>
          <w:sz w:val="18"/>
          <w:szCs w:val="18"/>
          <w:color w:val="auto"/>
        </w:rPr>
      </w:pPr>
    </w:p>
    <w:p>
      <w:pPr>
        <w:ind w:left="60" w:right="439" w:firstLine="314"/>
        <w:spacing w:after="0" w:line="277" w:lineRule="auto"/>
        <w:tabs>
          <w:tab w:leader="none" w:pos="7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BXCL501, BXCL701, BXCL502 and our other product candidates;</w:t>
      </w:r>
    </w:p>
    <w:p>
      <w:pPr>
        <w:spacing w:after="0" w:line="170" w:lineRule="exact"/>
        <w:rPr>
          <w:rFonts w:ascii="Arial" w:cs="Arial" w:eastAsia="Arial" w:hAnsi="Arial"/>
          <w:sz w:val="18"/>
          <w:szCs w:val="18"/>
          <w:color w:val="auto"/>
        </w:rPr>
      </w:pPr>
    </w:p>
    <w:p>
      <w:pPr>
        <w:ind w:left="60" w:right="699" w:firstLine="314"/>
        <w:spacing w:after="0" w:line="277" w:lineRule="auto"/>
        <w:tabs>
          <w:tab w:leader="none" w:pos="7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BXCL501, BXCL701, BXCL502 and our other product candidates are approved;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225" w:lineRule="exact"/>
        <w:rPr>
          <w:rFonts w:ascii="Arial" w:cs="Arial" w:eastAsia="Arial" w:hAnsi="Arial"/>
          <w:sz w:val="18"/>
          <w:szCs w:val="18"/>
          <w:color w:val="auto"/>
        </w:rPr>
      </w:pPr>
    </w:p>
    <w:p>
      <w:pPr>
        <w:ind w:left="60" w:right="399" w:firstLine="314"/>
        <w:spacing w:after="0" w:line="277" w:lineRule="auto"/>
        <w:tabs>
          <w:tab w:leader="none" w:pos="7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170"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8"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1"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clinical trials and regulatory review, increased costs to assure compliance with post-approval regulatory requirements, and potential restrictions on the sale and/or distribution of approved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8"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ACA, has substantially changed the way healthcare is financed by both government health plans and private insurers, and significantly impacts the pharmaceutical industry. The ACA contained a number of provisions that are expected to impact our business and operations in ways that may negatively affect our potential revenues in the future. For example, the ACA imposed a non-deductible excise tax on pharmaceutical manufacturers or importers that sell branded prescription drugs to government programs which we believe will increase the cost of our products. In addition, as part of the ACA’s provisions closing a funding gap that existed in the Medicare Part D prescription drug program, manufacturers are now required to provide a discount on branded prescription drugs equal to 70% of the government-negotiated price,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w:t>
      </w:r>
    </w:p>
    <w:p>
      <w:pPr>
        <w:spacing w:after="0" w:line="182" w:lineRule="exact"/>
        <w:rPr>
          <w:sz w:val="20"/>
          <w:szCs w:val="20"/>
          <w:color w:val="auto"/>
        </w:rPr>
      </w:pPr>
    </w:p>
    <w:p>
      <w:pPr>
        <w:ind w:left="60" w:right="219" w:firstLine="324"/>
        <w:spacing w:after="0" w:line="289"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66"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2030, with the exception of a temporary suspension from May 1, 2020 through March 31, 2022, unless additional Congressional action is taken, as well as the American Taxpayer Relief Act of 2012, which, among other things, further reduced Medicare payments to several types of providers,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including hospitals, and increased the statute of limitations period for the government to recover overpayments to providers from three to five years.</w:t>
      </w:r>
    </w:p>
    <w:p>
      <w:pPr>
        <w:spacing w:after="0" w:line="170"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Recently, there has also been heightened government scrutiny over the manner in which manufacturers set prices for their marketed products, which has resulted in several Congressional inquiries and proposed and enacted legislation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Furthermore, there has been increased interest by third party payors and governmental authorities in reference pricing systems and publication of discounts and list prices.</w:t>
      </w:r>
    </w:p>
    <w:p>
      <w:pPr>
        <w:spacing w:after="0" w:line="16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22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As of December 31, 2021, BioXcel LLC owned approximately 31% of the economic interest and voting power of our outstanding common stock. Drs. Mehta and Nandabalan are the co-founders and serve as senior executives and members of the board of BioXcel LLC. See “—The management of and beneficial ownership in BioXcel LLC by our executive officers and our directors may create, or may create the appearance of, conflicts of interest.” Even though BioXcel controls less than a majority of the voting power of our outstanding common stock, it may influence the outcome of such corporate actions so long as it owns a significant portion of our common stock.</w:t>
      </w:r>
    </w:p>
    <w:p>
      <w:pPr>
        <w:spacing w:after="0" w:line="178"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84" w:lineRule="exact"/>
        <w:rPr>
          <w:sz w:val="20"/>
          <w:szCs w:val="20"/>
          <w:color w:val="auto"/>
        </w:rPr>
      </w:pPr>
    </w:p>
    <w:p>
      <w:pPr>
        <w:ind w:left="60" w:right="559" w:firstLine="324"/>
        <w:spacing w:after="0" w:line="311" w:lineRule="auto"/>
        <w:rPr>
          <w:sz w:val="20"/>
          <w:szCs w:val="20"/>
          <w:color w:val="auto"/>
        </w:rPr>
      </w:pPr>
      <w:r>
        <w:rPr>
          <w:rFonts w:ascii="Arial" w:cs="Arial" w:eastAsia="Arial" w:hAnsi="Arial"/>
          <w:sz w:val="16"/>
          <w:szCs w:val="16"/>
          <w:color w:val="auto"/>
        </w:rPr>
        <w:t>The commercial terms of the Separation and Shared Services Agreement and the Amended and Restated Asset Contribution Agreement, or the Contribution Agreement, that we have entered into with BioXcel LLC have not been negotiated on behalf of BioXcel LLC by persons consisting solely of disinterested BioXcel LLC directors.</w:t>
      </w:r>
    </w:p>
    <w:p>
      <w:pPr>
        <w:spacing w:after="0" w:line="149"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No assurance can be given that any stockholder of BioXcel LLC will not claim in a lawsuit that such terms in fact are not in the best interests of BioXcel LLC and its stockholders, that the directors and officers of BioXcel LLC breached their fiduciary duties in connection with such agreements and that any disclosures by BioXcel LLC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will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LLC to provide us with certain services for our business.</w:t>
      </w:r>
    </w:p>
    <w:p>
      <w:pPr>
        <w:spacing w:after="0" w:line="225"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We rely, in part, on BioXcel LLC and access to its EvolverAI, a research and development engine created and owned by BioXcel LLC, to identify, research and develop potential product candidates in neuroscience and immuno-oncology. The Company has negotiated the Services Agreement with BioXcel LLC pursuant to which BioXcel LLC shall perform product identification and related services for us utilizing its EvolverAI. Under the Services Agreement, the Company has an option, exercisable until March 12, 2023, to enter into a collaborative services agreement with BioXcel LLC pursuant to which BioXcel LLC shall perform product identification and related services for us utilizing its EvolverAI.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LLC shall continue to make such product identification and related services available to us until at least September 30, 2024. In addition, BioXcel LLC has granted us a first right to negotiate exclusive rights to any additional product candidates in the fields of neuroscience and immuno-oncology that BioXcel LLC may identify on its own and not in connection with BioXcel LLC’s provision of services to us under the Services Agreement. This option for first negotiation shall be valid for a period of five years from the date of our IPO. If our rights and access to BioXcel LLC’s collaborative services and to its EvolverAI were to become limited, terminated, or if we were otherwise precluded from conducting research and development using its EvolverAI, or if BioXcel LLC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LLC, we cannot control whether or not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 LLC.</w:t>
      </w:r>
    </w:p>
    <w:p>
      <w:pPr>
        <w:spacing w:after="0" w:line="38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LLC by our executive officers and our directors may create, or may create the appearance of, conflicts of interest.</w:t>
      </w:r>
    </w:p>
    <w:p>
      <w:pPr>
        <w:spacing w:after="0" w:line="170"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management of and beneficial ownership in BioXcel LLC by our executive officers and our directors may create, or may create the appearance of, conflicts of interest. For example, each of our Chief Executive Officer and a director on our Board, Vimal Mehta, Ph.D., and our Chief Digital Officer and a director on our Board, Krishnan Nandabalan, Ph.D., is a manager of BioXcel LLC, as well as a director, officer and stockholder of BioXcel LLC, BTI’s former parent company. Additionally, as of December 31, 2021, each of Dr. Mehta and Dr. Nandabalan, through their beneficial ownership of BioXcel LLC, beneficially owned approximately 32% and 32%, respectively, of the Company. Management and ownership by our executive officers and directors in BioXcel LLC, creates, or, may create the appearance of, conflicts of interest when these individuals are faced with decisions that could have different implications for BioXcel LLC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LLC with respect to our past and ongoing relationships could harm our business operations.</w:t>
      </w:r>
    </w:p>
    <w:p>
      <w:pPr>
        <w:spacing w:after="0" w:line="170" w:lineRule="exact"/>
        <w:rPr>
          <w:sz w:val="20"/>
          <w:szCs w:val="20"/>
          <w:color w:val="auto"/>
        </w:rPr>
      </w:pPr>
    </w:p>
    <w:p>
      <w:pPr>
        <w:ind w:left="60" w:right="919" w:firstLine="648"/>
        <w:spacing w:after="0" w:line="277" w:lineRule="auto"/>
        <w:rPr>
          <w:sz w:val="20"/>
          <w:szCs w:val="20"/>
          <w:color w:val="auto"/>
        </w:rPr>
      </w:pPr>
      <w:r>
        <w:rPr>
          <w:rFonts w:ascii="Arial" w:cs="Arial" w:eastAsia="Arial" w:hAnsi="Arial"/>
          <w:sz w:val="18"/>
          <w:szCs w:val="18"/>
          <w:color w:val="auto"/>
        </w:rPr>
        <w:t>Disputes may arise between BioXcel LLC and us in a number of areas relating to our past and ongoing relationships, including:</w:t>
      </w:r>
    </w:p>
    <w:p>
      <w:pPr>
        <w:spacing w:after="0" w:line="170" w:lineRule="exact"/>
        <w:rPr>
          <w:sz w:val="20"/>
          <w:szCs w:val="20"/>
          <w:color w:val="auto"/>
        </w:rPr>
      </w:pPr>
    </w:p>
    <w:p>
      <w:pPr>
        <w:ind w:left="60" w:right="99" w:hanging="10"/>
        <w:spacing w:after="0" w:line="277" w:lineRule="auto"/>
        <w:tabs>
          <w:tab w:leader="none" w:pos="7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intellectual property, technology and business matters, including failure to make required technology transfers and failure to comply with non-compete provisions applicable to BioXcel LLC and us;</w:t>
      </w:r>
    </w:p>
    <w:p>
      <w:pPr>
        <w:spacing w:after="0" w:line="170"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or distributions by BioXcel LLC of all or any portion of its ownership interest in us;</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LLC has agreed to provide us; and</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LLC and us.</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r>
        <w:rPr>
          <w:rFonts w:ascii="Arial" w:cs="Arial" w:eastAsia="Arial" w:hAnsi="Arial"/>
          <w:sz w:val="18"/>
          <w:szCs w:val="18"/>
          <w:b w:val="1"/>
          <w:bCs w:val="1"/>
          <w:i w:val="1"/>
          <w:iCs w:val="1"/>
          <w:color w:val="auto"/>
        </w:rPr>
        <w:t>.</w:t>
      </w:r>
    </w:p>
    <w:p>
      <w:pPr>
        <w:spacing w:after="0" w:line="18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BioXcel LLC may experience challenges with the acquisition, development, enhancement or deployment of technology necessary for its EvolverAI.</w:t>
      </w:r>
    </w:p>
    <w:p>
      <w:pPr>
        <w:spacing w:after="0" w:line="170"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its EvolverAI obsolete. BioXcel LLC’s continued success will depend on its ability to adapt to changing technologies, manage and process ever-increasing amounts of data and information and improve the performance, features and reliability of its services in response to changing client and industry demands. BioXcel LLC may experience difficulties that could delay or prevent the successful design, development, testing, and introduction of advanced versions of EvolverAI, limiting our ability to identify new product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candidates. New services, or enhancements to existing EvolverAI services, may not adequately meet our requirements.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of these failures could have a material adverse effect on our operating results and financial condition.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0" w:right="79"/>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6"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all of the manufacturers that we intend to use must adhere to the cGMP or similar foreign regulations prescribed by the FDA or foreign regulatory authorities.</w:t>
      </w:r>
    </w:p>
    <w:p>
      <w:pPr>
        <w:spacing w:after="0" w:line="172"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5"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6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6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Our strategy for the development and commercialization of our proprietary product candidates may include the formation of collaborative arrangements with third parties.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88" w:lineRule="exact"/>
        <w:rPr>
          <w:sz w:val="20"/>
          <w:szCs w:val="20"/>
          <w:color w:val="auto"/>
        </w:rPr>
      </w:pPr>
    </w:p>
    <w:p>
      <w:pPr>
        <w:ind w:left="700" w:hanging="32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25" w:lineRule="exact"/>
        <w:rPr>
          <w:sz w:val="20"/>
          <w:szCs w:val="20"/>
          <w:color w:val="auto"/>
        </w:rPr>
      </w:pPr>
    </w:p>
    <w:p>
      <w:pPr>
        <w:jc w:val="both"/>
        <w:ind w:left="60" w:right="319" w:firstLine="324"/>
        <w:spacing w:after="0" w:line="301" w:lineRule="auto"/>
        <w:rPr>
          <w:sz w:val="20"/>
          <w:szCs w:val="20"/>
          <w:color w:val="auto"/>
        </w:rPr>
      </w:pPr>
      <w:r>
        <w:rPr>
          <w:rFonts w:ascii="Arial" w:cs="Arial" w:eastAsia="Arial" w:hAnsi="Arial"/>
          <w:sz w:val="16"/>
          <w:szCs w:val="16"/>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57"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92"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60" w:right="15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jc w:val="both"/>
        <w:ind w:left="60" w:right="499"/>
        <w:spacing w:after="0" w:line="302"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enforced by the FDA, the Competent Authorities of the member states of the European Economic Area (“EEA”) and comparable foreign regulatory authorities for all of our products in clinical development.</w:t>
      </w:r>
    </w:p>
    <w:p>
      <w:pPr>
        <w:spacing w:after="0" w:line="170"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b w:val="1"/>
          <w:bCs w:val="1"/>
          <w:i w:val="1"/>
          <w:iCs w:val="1"/>
          <w:color w:val="auto"/>
        </w:rPr>
        <w:t>The COVID-19 pandemic or other pandemics, epidemics or outbreaks of an infectious disease may materially and adversely impact our business, including our preclinical studies and clinical trials.</w:t>
      </w:r>
    </w:p>
    <w:p>
      <w:pPr>
        <w:spacing w:after="0" w:line="146"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In 2020, the novel coronavirus disease, COVID-19, was declared a pandemic and spread across the globe, including throughout the United States and Europe.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We have taken steps to protect our workforce and have instituted strict work rules to protect our employees. Beginning late in the first quarter of 2021, and in line with State of Connecticut guidelines, we opened our office on a voluntary basis up to full capacity. In May 2021, the State of Connecticut lifted all business and office restrictions in the State. We have instituted a return to the office policy and will continue to evaluate that policy over the next several months.</w:t>
      </w:r>
    </w:p>
    <w:p>
      <w:pPr>
        <w:spacing w:after="0" w:line="16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As a result of the COVID-19 pandemic, outbreaks from variants of COVID-19, or other pandemics, epidemics or outbreaks of infectious disease, we may experience disruptions that could severely impact our business, preclinical studies and clinical trials, including:</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40" w:right="99" w:hanging="315"/>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38" w:lineRule="exact"/>
        <w:rPr>
          <w:rFonts w:ascii="Arial" w:cs="Arial" w:eastAsia="Arial" w:hAnsi="Arial"/>
          <w:sz w:val="17"/>
          <w:szCs w:val="17"/>
          <w:color w:val="auto"/>
        </w:rPr>
      </w:pPr>
    </w:p>
    <w:p>
      <w:pPr>
        <w:ind w:left="1040" w:right="239" w:hanging="315"/>
        <w:spacing w:after="0" w:line="25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8"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62" w:lineRule="exact"/>
        <w:rPr>
          <w:rFonts w:ascii="Arial" w:cs="Arial" w:eastAsia="Arial" w:hAnsi="Arial"/>
          <w:sz w:val="18"/>
          <w:szCs w:val="18"/>
          <w:color w:val="auto"/>
        </w:rPr>
      </w:pPr>
    </w:p>
    <w:p>
      <w:pPr>
        <w:ind w:left="1040" w:right="319" w:hanging="315"/>
        <w:spacing w:after="0" w:line="26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75"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62" w:lineRule="exact"/>
        <w:rPr>
          <w:rFonts w:ascii="Arial" w:cs="Arial" w:eastAsia="Arial" w:hAnsi="Arial"/>
          <w:sz w:val="18"/>
          <w:szCs w:val="18"/>
          <w:color w:val="auto"/>
        </w:rPr>
      </w:pPr>
    </w:p>
    <w:p>
      <w:pPr>
        <w:jc w:val="both"/>
        <w:ind w:left="1040" w:right="179" w:hanging="315"/>
        <w:spacing w:after="0" w:line="26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40" w:right="719" w:hanging="315"/>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spacing w:after="0" w:line="38" w:lineRule="exact"/>
        <w:rPr>
          <w:rFonts w:ascii="Arial" w:cs="Arial" w:eastAsia="Arial" w:hAnsi="Arial"/>
          <w:sz w:val="17"/>
          <w:szCs w:val="17"/>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333"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COVID-19 pandemic continues to rapidly evolve. The extent to which the outbreak impacts our business, preclinical studies and clinical trials will depend on future developments, which are highly uncertain and cannot be predicted with confidence, such as rate of infection, the duration of the pandemic and subsequent waves of infection, the prevalence of new variants of the virus, travel restrictions and social distancing in the United States and other countries, business closures or business disruptions, the availability, adoption and effectiveness of any vaccines or treatments and the effectiveness of actions taken in the United States and other countries to contain and address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82"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In addition to our employees, we have access to certain of BioXcel LLC’s employees and resources through the various agreements we have entered into with BioXcel LLC. We have been expanding our management team to include an operational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14"/>
        <w:spacing w:after="0" w:line="277" w:lineRule="auto"/>
        <w:tabs>
          <w:tab w:leader="none" w:pos="7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BXCL502 and our other product candidates;</w:t>
      </w:r>
    </w:p>
    <w:p>
      <w:pPr>
        <w:spacing w:after="0" w:line="170" w:lineRule="exact"/>
        <w:rPr>
          <w:rFonts w:ascii="Arial" w:cs="Arial" w:eastAsia="Arial" w:hAnsi="Arial"/>
          <w:sz w:val="18"/>
          <w:szCs w:val="18"/>
          <w:color w:val="auto"/>
        </w:rPr>
      </w:pPr>
    </w:p>
    <w:p>
      <w:pPr>
        <w:ind w:left="60" w:right="339" w:firstLine="314"/>
        <w:spacing w:after="0" w:line="277" w:lineRule="auto"/>
        <w:tabs>
          <w:tab w:leader="none" w:pos="7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and reporting systems and procedures;</w:t>
      </w:r>
    </w:p>
    <w:p>
      <w:pPr>
        <w:spacing w:after="0" w:line="46"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700" w:hanging="32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25"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24"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Our success depends largely upon the continued services of our key executive officers,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general and administrative functions. We have been relying on our commercial readiness team in connection with the potential commercialization of BXCL501. From time to time, there may be changes in our executive management and leadership teams resulting from the hiring or departure of executives or other key employees, which could disrupt our business. For example, we are continuing to build our commercial readiness team following the departure of certain senior executives. The replacement of one or more of our executive officers or other key employees would likely involve significant time and costs and may significantly delay or prevent the achievement of our business objectives.</w:t>
      </w:r>
    </w:p>
    <w:p>
      <w:pPr>
        <w:spacing w:after="0" w:line="182"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or experienced increased costs to recruit such personnel. The pool of qualified personnel with experience working with the pharma market is limited overall. In addition, many of the companies with which we compete for experienced personnel have greater resources than we have.</w:t>
      </w:r>
    </w:p>
    <w:p>
      <w:pPr>
        <w:spacing w:after="0" w:line="164"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Company. If we fail to attract new personnel or fail to retain and motivate our current personnel, our business and future growth prospects could be severely harmed.</w:t>
      </w:r>
    </w:p>
    <w:p>
      <w:pPr>
        <w:spacing w:after="0" w:line="170"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24"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700" w:hanging="32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60" w:right="279" w:firstLine="314"/>
        <w:spacing w:after="0" w:line="277" w:lineRule="auto"/>
        <w:tabs>
          <w:tab w:leader="none" w:pos="7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60" w:right="559" w:firstLine="314"/>
        <w:spacing w:after="0" w:line="308" w:lineRule="auto"/>
        <w:tabs>
          <w:tab w:leader="none" w:pos="7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146" w:lineRule="exact"/>
        <w:rPr>
          <w:rFonts w:ascii="Arial" w:cs="Arial" w:eastAsia="Arial" w:hAnsi="Arial"/>
          <w:sz w:val="17"/>
          <w:szCs w:val="17"/>
          <w:color w:val="auto"/>
        </w:rPr>
      </w:pPr>
    </w:p>
    <w:p>
      <w:pPr>
        <w:ind w:left="700" w:hanging="32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60" w:right="599" w:firstLine="314"/>
        <w:spacing w:after="0" w:line="277" w:lineRule="auto"/>
        <w:tabs>
          <w:tab w:leader="none" w:pos="7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81"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7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Data breaches or cyber-attacks could disrupt our business operations and information technology systems, adversely impact our financial results or result in the loss or exposure of confidential or sensitive product candidate, clinical trial, employee or Company information.</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Our information technology systems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could occur through a variety of methods such as cyber-attacks or cyber-intrusions over the Internet, malware, computer viruses, email spoofing, attachments to e-mails, persons inside our organization,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We use our information technology systems to protect confidential or sensitive product candidate, clinical trial, employee and Company information. Any attack on such systems that results in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79"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73"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artificial intelligence and machine learning may be subject to laws and evolving regulations regarding the use of artificial intelligence/machine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30" w:lineRule="exact"/>
        <w:rPr>
          <w:sz w:val="20"/>
          <w:szCs w:val="20"/>
          <w:color w:val="auto"/>
        </w:rPr>
      </w:pPr>
    </w:p>
    <w:p>
      <w:pPr>
        <w:ind w:left="60" w:right="99" w:firstLine="324"/>
        <w:spacing w:after="0" w:line="267" w:lineRule="auto"/>
        <w:rPr>
          <w:sz w:val="20"/>
          <w:szCs w:val="20"/>
          <w:color w:val="auto"/>
        </w:rPr>
      </w:pPr>
      <w:r>
        <w:rPr>
          <w:rFonts w:ascii="Arial" w:cs="Arial" w:eastAsia="Arial" w:hAnsi="Arial"/>
          <w:sz w:val="17"/>
          <w:szCs w:val="17"/>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48"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In Europe, the General Data Protection Regulation, or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 or CJEU. The European Commission issued revised standard contractual clauses, or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4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w:t>
      </w:r>
    </w:p>
    <w:p>
      <w:pPr>
        <w:spacing w:after="0" w:line="14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3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As part of our growth strategy, we may evaluate, acquire, license, develop and/or market third-party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700" w:hanging="32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auto"/>
        </w:rPr>
      </w:pPr>
    </w:p>
    <w:p>
      <w:pPr>
        <w:ind w:left="60" w:right="479" w:firstLine="314"/>
        <w:spacing w:after="0" w:line="277" w:lineRule="auto"/>
        <w:tabs>
          <w:tab w:leader="none" w:pos="7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25" w:lineRule="exact"/>
        <w:rPr>
          <w:rFonts w:ascii="Arial" w:cs="Arial" w:eastAsia="Arial" w:hAnsi="Arial"/>
          <w:sz w:val="18"/>
          <w:szCs w:val="18"/>
          <w:color w:val="auto"/>
        </w:rPr>
      </w:pPr>
    </w:p>
    <w:p>
      <w:pPr>
        <w:ind w:left="60" w:right="179" w:firstLine="314"/>
        <w:spacing w:after="0" w:line="277" w:lineRule="auto"/>
        <w:tabs>
          <w:tab w:leader="none" w:pos="7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70" w:lineRule="exact"/>
        <w:rPr>
          <w:rFonts w:ascii="Arial" w:cs="Arial" w:eastAsia="Arial" w:hAnsi="Arial"/>
          <w:sz w:val="18"/>
          <w:szCs w:val="18"/>
          <w:color w:val="auto"/>
        </w:rPr>
      </w:pPr>
    </w:p>
    <w:p>
      <w:pPr>
        <w:ind w:left="60" w:right="739" w:firstLine="314"/>
        <w:spacing w:after="0" w:line="277" w:lineRule="auto"/>
        <w:tabs>
          <w:tab w:leader="none" w:pos="7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9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credits to offset future taxable income and income tax liabilities may be limited.</w:t>
      </w:r>
    </w:p>
    <w:p>
      <w:pPr>
        <w:spacing w:after="0" w:line="170"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At December 31, 2021, the Company had federal net operating loss carryforwards, or NOLs, of approximately $139 million and state NOLs of approximately $139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taxable years beginning after December 31, 2020. As of December 31, 2021, we also had approximately $6.5 million of federal orphan drug credits and research and development credits, or tax credits, which will begin to expire in 2037 if not utilized. The utilization of such NOLs and tax credits and realization of tax benefits in future years depends upon our having taxable income and income tax liabilities.</w:t>
      </w:r>
    </w:p>
    <w:p>
      <w:pPr>
        <w:spacing w:after="0" w:line="19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addition, in general, under Sections 382 and 383 of the Internal Revenue Code of 1986, as amended, or the Code,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United States and in certain foreign jurisdictions. Patents issue from non-provisional applications, which are typically filed from provisional patent applications or from Patent Cooperation Treaty (PCT) applications that enter the national phase. Neither provisional patent applications nor PCT applications issue directly as patents. We own PCT patent applications relating to our platform technologies covering methods of use and applications of the platform technologies. As of February 22, 2022, we had 7 allowed or issued foreign patents relevant to our BXCL701 program and 1 issued U.S. utility patent, 1 pending U.S. design patent application, 4 allowed or issued foreign patents and 34 issued foreign design patents relevant to our BXCL501 program.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74"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60" w:right="199" w:firstLine="314"/>
        <w:spacing w:after="0" w:line="277" w:lineRule="auto"/>
        <w:tabs>
          <w:tab w:leader="none" w:pos="7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128" w:lineRule="exact"/>
        <w:rPr>
          <w:rFonts w:ascii="Arial" w:cs="Arial" w:eastAsia="Arial" w:hAnsi="Arial"/>
          <w:sz w:val="17"/>
          <w:szCs w:val="17"/>
          <w:color w:val="auto"/>
        </w:rPr>
      </w:pPr>
    </w:p>
    <w:p>
      <w:pPr>
        <w:ind w:left="1040" w:hanging="315"/>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117" w:lineRule="exact"/>
        <w:rPr>
          <w:rFonts w:ascii="Arial" w:cs="Arial" w:eastAsia="Arial" w:hAnsi="Arial"/>
          <w:sz w:val="18"/>
          <w:szCs w:val="18"/>
          <w:color w:val="auto"/>
        </w:rPr>
      </w:pPr>
    </w:p>
    <w:p>
      <w:pPr>
        <w:ind w:left="1040" w:right="379" w:hanging="315"/>
        <w:spacing w:after="0" w:line="277"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46" w:lineRule="exact"/>
        <w:rPr>
          <w:rFonts w:ascii="Arial" w:cs="Arial" w:eastAsia="Arial" w:hAnsi="Arial"/>
          <w:sz w:val="16"/>
          <w:szCs w:val="16"/>
          <w:color w:val="auto"/>
        </w:rPr>
      </w:pPr>
    </w:p>
    <w:p>
      <w:pPr>
        <w:ind w:left="1040" w:hanging="315"/>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 Patent and Trademark Office, or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8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117" w:lineRule="exact"/>
        <w:rPr>
          <w:rFonts w:ascii="Arial" w:cs="Arial" w:eastAsia="Arial" w:hAnsi="Arial"/>
          <w:sz w:val="18"/>
          <w:szCs w:val="18"/>
          <w:color w:val="auto"/>
        </w:rPr>
      </w:pPr>
    </w:p>
    <w:p>
      <w:pPr>
        <w:ind w:left="1040" w:right="359" w:hanging="315"/>
        <w:spacing w:after="0" w:line="263"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7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62"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76"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7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4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1"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4"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84"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some patent applications in the United States may be maintained in secrecy until the patents are issued;</w:t>
      </w:r>
    </w:p>
    <w:p>
      <w:pPr>
        <w:spacing w:after="0" w:line="128" w:lineRule="exact"/>
        <w:rPr>
          <w:rFonts w:ascii="Arial" w:cs="Arial" w:eastAsia="Arial" w:hAnsi="Arial"/>
          <w:sz w:val="17"/>
          <w:szCs w:val="17"/>
          <w:color w:val="auto"/>
        </w:rPr>
      </w:pPr>
    </w:p>
    <w:p>
      <w:pPr>
        <w:ind w:left="1040" w:hanging="315"/>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patent applications in the United States are typically not published until 18 months after the priority date; and</w:t>
      </w:r>
    </w:p>
    <w:p>
      <w:pPr>
        <w:spacing w:after="0" w:line="140" w:lineRule="exact"/>
        <w:rPr>
          <w:rFonts w:ascii="Arial" w:cs="Arial" w:eastAsia="Arial" w:hAnsi="Arial"/>
          <w:sz w:val="16"/>
          <w:szCs w:val="16"/>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17"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6"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60" w:right="599" w:firstLine="324"/>
        <w:spacing w:after="0" w:line="301"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9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7"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87"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117" w:lineRule="exact"/>
        <w:rPr>
          <w:rFonts w:ascii="Arial" w:cs="Arial" w:eastAsia="Arial" w:hAnsi="Arial"/>
          <w:sz w:val="18"/>
          <w:szCs w:val="18"/>
          <w:color w:val="auto"/>
        </w:rPr>
      </w:pPr>
    </w:p>
    <w:p>
      <w:pPr>
        <w:ind w:left="1040" w:right="99" w:hanging="315"/>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spacing w:after="0" w:line="38" w:lineRule="exact"/>
        <w:rPr>
          <w:rFonts w:ascii="Arial" w:cs="Arial" w:eastAsia="Arial" w:hAnsi="Arial"/>
          <w:sz w:val="17"/>
          <w:szCs w:val="17"/>
          <w:color w:val="auto"/>
        </w:rPr>
      </w:pPr>
    </w:p>
    <w:p>
      <w:pPr>
        <w:ind w:left="1040" w:right="99" w:hanging="315"/>
        <w:spacing w:after="0" w:line="263"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76"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Changes to patent law, including the Leahy-Smith America Invents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speculative trading in and short sales of our stock, as well as trading phenomena such as the “short squeeze”;</w:t>
      </w:r>
    </w:p>
    <w:p>
      <w:pPr>
        <w:spacing w:after="0" w:line="140" w:lineRule="exact"/>
        <w:rPr>
          <w:rFonts w:ascii="Arial" w:cs="Arial" w:eastAsia="Arial" w:hAnsi="Arial"/>
          <w:sz w:val="16"/>
          <w:szCs w:val="16"/>
          <w:color w:val="auto"/>
        </w:rPr>
      </w:pPr>
    </w:p>
    <w:p>
      <w:pPr>
        <w:ind w:left="1040" w:right="27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62"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62" w:lineRule="exact"/>
        <w:rPr>
          <w:rFonts w:ascii="Arial" w:cs="Arial" w:eastAsia="Arial" w:hAnsi="Arial"/>
          <w:sz w:val="18"/>
          <w:szCs w:val="18"/>
          <w:color w:val="auto"/>
        </w:rPr>
      </w:pPr>
    </w:p>
    <w:p>
      <w:pPr>
        <w:ind w:left="1040" w:right="479" w:hanging="315"/>
        <w:spacing w:after="0" w:line="263"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75"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140" w:lineRule="exact"/>
        <w:rPr>
          <w:rFonts w:ascii="Arial" w:cs="Arial" w:eastAsia="Arial" w:hAnsi="Arial"/>
          <w:sz w:val="16"/>
          <w:szCs w:val="16"/>
          <w:color w:val="auto"/>
        </w:rPr>
      </w:pPr>
    </w:p>
    <w:p>
      <w:pPr>
        <w:ind w:left="1040" w:right="29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117"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62" w:lineRule="exact"/>
        <w:rPr>
          <w:rFonts w:ascii="Arial" w:cs="Arial" w:eastAsia="Arial" w:hAnsi="Arial"/>
          <w:sz w:val="18"/>
          <w:szCs w:val="18"/>
          <w:color w:val="auto"/>
        </w:rPr>
      </w:pPr>
    </w:p>
    <w:p>
      <w:pPr>
        <w:ind w:left="1040" w:right="55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117"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128" w:lineRule="exact"/>
        <w:rPr>
          <w:rFonts w:ascii="Arial" w:cs="Arial" w:eastAsia="Arial" w:hAnsi="Arial"/>
          <w:sz w:val="17"/>
          <w:szCs w:val="17"/>
          <w:color w:val="auto"/>
        </w:rPr>
      </w:pPr>
    </w:p>
    <w:p>
      <w:pPr>
        <w:ind w:left="1040" w:right="97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62"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117"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128" w:lineRule="exact"/>
        <w:rPr>
          <w:rFonts w:ascii="Arial" w:cs="Arial" w:eastAsia="Arial" w:hAnsi="Arial"/>
          <w:sz w:val="17"/>
          <w:szCs w:val="17"/>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117" w:lineRule="exact"/>
        <w:rPr>
          <w:sz w:val="20"/>
          <w:szCs w:val="20"/>
          <w:color w:val="auto"/>
        </w:rPr>
      </w:pPr>
    </w:p>
    <w:p>
      <w:pPr>
        <w:jc w:val="both"/>
        <w:ind w:left="60" w:right="13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7"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70"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As of December 31, 2021, our directors, executive officers and BioXcel LLC, and their respective affiliates, beneficially owned approximately 37%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4" w:lineRule="exact"/>
        <w:rPr>
          <w:sz w:val="20"/>
          <w:szCs w:val="20"/>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14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or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7" w:lineRule="exact"/>
        <w:rPr>
          <w:sz w:val="20"/>
          <w:szCs w:val="20"/>
          <w:color w:val="auto"/>
        </w:rPr>
      </w:pPr>
    </w:p>
    <w:p>
      <w:pPr>
        <w:ind w:left="60" w:right="33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78"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w:t>
      </w:r>
    </w:p>
    <w:p>
      <w:pPr>
        <w:spacing w:after="0" w:line="182"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We are also a smaller reporting company, and we will remain a smaller reporting company until, as of fiscal year end, we determine that either (1) our annual revenues are at least $100 million and our voting and non-voting common stock held by non-affiliates is at least $250 million measured on the last business day of our most recent second fiscal quarter or</w:t>
      </w:r>
    </w:p>
    <w:p>
      <w:pPr>
        <w:spacing w:after="0" w:line="2" w:lineRule="exact"/>
        <w:rPr>
          <w:sz w:val="20"/>
          <w:szCs w:val="20"/>
          <w:color w:val="auto"/>
        </w:rPr>
      </w:pPr>
    </w:p>
    <w:p>
      <w:pPr>
        <w:ind w:left="60" w:right="179" w:hanging="10"/>
        <w:spacing w:after="0" w:line="252"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voting and non-voting common stock held by non-affiliates is at least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7" w:lineRule="exact"/>
        <w:rPr>
          <w:sz w:val="20"/>
          <w:szCs w:val="20"/>
          <w:color w:val="auto"/>
        </w:rPr>
      </w:pPr>
    </w:p>
    <w:p>
      <w:pPr>
        <w:ind w:left="6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68"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6" w:lineRule="exact"/>
        <w:rPr>
          <w:sz w:val="20"/>
          <w:szCs w:val="20"/>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117"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62"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6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is required to devote substantial time to compliance matters.</w:t>
      </w:r>
    </w:p>
    <w:p>
      <w:pPr>
        <w:spacing w:after="0" w:line="170"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As a publicly traded company we have incurred and will continue to incur significant additional legal, accounting and other expenses that we did not incur as a privately held subsidiary of BioXcel LLC.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LLC.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3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51"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Our corporate headquarters are located at 555 Long Wharf Drive in New Haven, Connecticut. The Company occupies 18,285 square feet of space. The leases for this space expire in February 2026 and we have a renewal option for one additional five-year term. We believe that our existing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319"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common stock is traded on the Nasdaq Capital Market under the symbol “BTAI.”</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As of February 20, 2022, there were 10 stockholders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of Unregistered Sales of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11. of Part III of this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259" w:firstLine="324"/>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Financial Data” and our financial statements and the related notes appearing elsewhere in this report. In addition to historical information, this discussion and analysis contains forward-looking statements that involve risks, uncertainties and assumptions.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We are a clinical stage biopharmaceutical company utilizing artificial intelligence approaches to develop transformative medicines in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a substantial unmet medical need.</w:t>
      </w:r>
    </w:p>
    <w:p>
      <w:pPr>
        <w:spacing w:after="0" w:line="176"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Our two most advanced clinical development programs are BXCL501, a proprietary, orally dissolving, sublingual thin film formulation of the adrenergic receptor agonist dexmedetomidine (“Dex”), for the treatment of agitation resulting from neuropsychiatric disorders, and BXCL701, an investigational orally administered systemic innate immune activator for the treatment of a rare form of prostate cancer and advanced solid tumors that are refractory or treatment naïve to checkpoint inhibitors.</w:t>
      </w:r>
    </w:p>
    <w:p>
      <w:pPr>
        <w:spacing w:after="0" w:line="18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During the first quarter ended March 31, 2020, and continuing through December 31, 2021, COVID-19 was declared a pandemic and spread to multiple regions across the globe, including the United States and Europe.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78"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To date, we have taken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 Beginning late in the second quarter of 2020, we began to slowly bring our staff, in very limited numbers, back to our office. This modified return-to-work approach is continuing into 2022. We have taken steps to protect our workforce and have instituted strict work rules to protect our employees.</w:t>
      </w:r>
    </w:p>
    <w:p>
      <w:pPr>
        <w:spacing w:after="0" w:line="192"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We remain committed to our clinical programs and development plans. Other than our Phase 2 clinical trial evaluating BXCL501 in patients with delirium through December 31, 2021, we have not experienced any significant delays to our ongoing or planned clinical trials, except for challenges in accessing elderly care facilities and ICU settings; however, this could rapidly 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is a summary of the status of our clinical development programs as of the date of this Annual Report 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5715</wp:posOffset>
            </wp:positionV>
            <wp:extent cx="5486400" cy="3086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864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Novel Drug Re-Innovation Approach</w:t>
      </w:r>
    </w:p>
    <w:p>
      <w:pPr>
        <w:spacing w:after="0" w:line="229"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We are developing and implementing holistically throughout the drug development process an artificial intelligence (“AI”) eco system designed to rapidly identify drugs that engage novel targets related to indications in psychiatric and neurological rare diseases. In addition, we focus our development on those indications related to or caused by stress. This capability complements our existing work done with BioXcel LLC’s EvolverAI and the clinical development group by providing a rich source of new previously unexplored opportunities. We have constructed a labeled properties graph (also referred to as a knowledge graph) that visually relates neuropsychiatric symptoms, brain circuits, drug targets and existing drugs. By making these connections, new potential uses for existing drugs emerge. The knowledge graph may be queried to uncover not only single drugs but potentially new combinations of drugs that we believe may be more effective in treating disorders than lone agents. New combinations of drugs provide the opportunity to evaluate lower, potentially safer doses of drugs and also provide the basis for stronger intellectual property positions. The AI team works closely with business development to prioritize the most valuable external opportunities in a data-driven manner. These opportunities may be found in new potential uses for launched drugs, in drugs that are part of pharma company pipelines that are no longer being pursued, or within academic efforts to develop new drug candidates.</w:t>
      </w:r>
    </w:p>
    <w:p>
      <w:pPr>
        <w:spacing w:after="0" w:line="174"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In addition to our AI approach to neuropsychiatric symptoms and neurological rare diseases, we are actively examining signaling pathways in tumors that we believe are potential targets for synergistic drug combinations. We believe synergistic drug combinations may allow more effective treatments by reducing the probability of drug adaptation by cancer cells. AI is useful in matching existing oncology drugs and their mechanism of action to specific types of cancer as well as identifying combinations that we believe may have a higher probability of success.</w:t>
      </w:r>
    </w:p>
    <w:p>
      <w:pPr>
        <w:spacing w:after="0" w:line="176" w:lineRule="exact"/>
        <w:rPr>
          <w:sz w:val="20"/>
          <w:szCs w:val="20"/>
          <w:color w:val="auto"/>
        </w:rPr>
      </w:pPr>
    </w:p>
    <w:p>
      <w:pPr>
        <w:jc w:val="both"/>
        <w:ind w:left="60" w:right="219" w:firstLine="324"/>
        <w:spacing w:after="0" w:line="311" w:lineRule="auto"/>
        <w:rPr>
          <w:sz w:val="20"/>
          <w:szCs w:val="20"/>
          <w:color w:val="auto"/>
        </w:rPr>
      </w:pPr>
      <w:r>
        <w:rPr>
          <w:rFonts w:ascii="Arial" w:cs="Arial" w:eastAsia="Arial" w:hAnsi="Arial"/>
          <w:sz w:val="16"/>
          <w:szCs w:val="16"/>
          <w:color w:val="auto"/>
        </w:rPr>
        <w:t>Traditional drug development is plagued with low success rates (13.8%, according to an MIT study of 186,000 trials from January 2000 to October 2015), long drug development cycles (10-15 years, according to PhRMA Key Facts 2016), and exorbitant development costs ($2.6 billion per drug, according to PhRMA Key Facts). Furthermore, many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serious diseases continue to go unaddressed due to limitations of the current drug discovery paradigm. The pharmacological space spans more than 27,000 active pharmaceutical agents, and only approximately 4,000 are approved and marketed drugs benefiting patients. These marketed drugs may be applied to other indications, including rare diseases, and represent an untapped potential for meeting significant unmet medical need and recoupment of research and development investments. Many of the remaining agents are clinical candidates that are active, shelved, or have failed for reasons other than toxicity and that can potentially be re-engineered for different indications or patient segments. They potentially represent an unrealized investment of billions of research and development dollars by the private and public sectors, resulting in an immeasurable amount of patient suffering and sacrificing during clinical development. Also, these compounds usually have known pharmacokinetic properties allowing for a more data-driven selection of appropriate doses for development programs. Finally, with respect to neuropsychiatric indications, we prioritizes those compounds with structural design features that may contribute to high blood-brain barrier permeability, which may increase the likelihood of compound brain penetration. Lack of brain penetration is a common cause for failure of many drugs developed for neuropsychiatric indications. We are prioritizing compounds with available human safety data, acceptable pharmacokinetic results, and data that support a high probability of achieving reasonable brain concentrations after dosing. The compounds in our pipeline have been identified using this proprietary platform.</w:t>
      </w:r>
    </w:p>
    <w:p>
      <w:pPr>
        <w:spacing w:after="0" w:line="167" w:lineRule="exact"/>
        <w:rPr>
          <w:sz w:val="20"/>
          <w:szCs w:val="20"/>
          <w:color w:val="auto"/>
        </w:rPr>
      </w:pPr>
    </w:p>
    <w:p>
      <w:pPr>
        <w:ind w:left="60" w:right="299" w:firstLine="324"/>
        <w:spacing w:after="0" w:line="270" w:lineRule="auto"/>
        <w:rPr>
          <w:sz w:val="20"/>
          <w:szCs w:val="20"/>
          <w:color w:val="auto"/>
        </w:rPr>
      </w:pPr>
      <w:r>
        <w:rPr>
          <w:rFonts w:ascii="Arial" w:cs="Arial" w:eastAsia="Arial" w:hAnsi="Arial"/>
          <w:sz w:val="16"/>
          <w:szCs w:val="16"/>
          <w:color w:val="auto"/>
        </w:rPr>
        <w:t>This drug re-innovation model has been exemplified by the successful development and commercialization of drugs such as Tecfidera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(Biogen, Inc.), Thalomid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(Celgene Corporation) and Viagra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(Pfizer, Inc.) All of these drugs were identified by insights in biology and disease pathophysiology. The successful business models of biotech companies like Axsome-Therapeutics, Inc. and Karuna Therapeutics, Inc. are based on the re-innovation and combination of existing clinical candidates or marketed drugs to provide novel solutions for patients. Unfortunately, such discoveries have been severely limited in scope due to the lack of a genuinely integrated approach of mining big data and advanced analytics.</w:t>
      </w:r>
    </w:p>
    <w:p>
      <w:pPr>
        <w:spacing w:after="0" w:line="180"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Our AI-based discovery and development process is the foundation of our drug re-innovation model for identifying the next wave of potential medicines. Our therapeutic area experts have over 150 years of combined experience across the drug discovery and development value chain. We believe that our method of finding potential product candidates gives us a higher probability of success because it combines the comprehensiveness and efficiency of machine learning and big data analytics with the expertise and intuition of human experience in drug development. We believe the combination of our therapeutic area expertise and our ability to generate therapeutic candidates in neuroscience and immuno oncology through our exclusive collaborative relationship in those areas with BioXcel LLC gives us a significant competitive advantage.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151765</wp:posOffset>
            </wp:positionV>
            <wp:extent cx="5486400" cy="3086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64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 All amounts are presented in thousands.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Our research and development expenses reflect costs incurred for the research and development of our clinical and pre-clinical product candidates, which includes payments to BioXcel LLC. Research and development expense primarily consist of salary, benefits and non-cash stock-based compensation for our research and development personnel, costs incurred under agreements with contract research organizations (“CROs”) and sites that conduct our non-clinical studies and clinical trials, costs of outside consultants engaged in research and development activities, including their fees, stock-based compensation and travel expenses, the cost of acquiring, developing and manufacturing pre-clinical and clinical trial materials and lab supplies, and depreciation and other expenses.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to operations as incurred.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research and development costs by program for the years ended December 31, 2021 and 2020 are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vMerge w:val="restart"/>
          </w:tcPr>
          <w:p>
            <w:pPr>
              <w:spacing w:after="0"/>
              <w:rPr>
                <w:sz w:val="20"/>
                <w:szCs w:val="20"/>
                <w:color w:val="auto"/>
              </w:rPr>
            </w:pPr>
            <w:r>
              <w:rPr>
                <w:rFonts w:ascii="Arial" w:cs="Arial" w:eastAsia="Arial" w:hAnsi="Arial"/>
                <w:sz w:val="18"/>
                <w:szCs w:val="18"/>
                <w:color w:val="auto"/>
              </w:rPr>
              <w:t>Direct external costs</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BXCL501</w:t>
            </w:r>
          </w:p>
        </w:tc>
        <w:tc>
          <w:tcPr>
            <w:tcW w:w="18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34,430</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BXCL701</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 programs</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Total direct external costs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Internal personnel costs</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09"/>
        </w:trPr>
        <w:tc>
          <w:tcPr>
            <w:tcW w:w="4920" w:type="dxa"/>
            <w:vAlign w:val="bottom"/>
          </w:tcPr>
          <w:p>
            <w:pPr>
              <w:ind w:left="220"/>
              <w:spacing w:after="0"/>
              <w:rPr>
                <w:sz w:val="20"/>
                <w:szCs w:val="20"/>
                <w:color w:val="auto"/>
              </w:rPr>
            </w:pPr>
            <w:r>
              <w:rPr>
                <w:rFonts w:ascii="Arial" w:cs="Arial" w:eastAsia="Arial" w:hAnsi="Arial"/>
                <w:sz w:val="18"/>
                <w:szCs w:val="18"/>
                <w:color w:val="auto"/>
              </w:rPr>
              <w:t>Sub-total direct costs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Indirect costs and overhead</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tax credit</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right="119" w:firstLine="324"/>
        <w:spacing w:after="0" w:line="311" w:lineRule="auto"/>
        <w:rPr>
          <w:sz w:val="20"/>
          <w:szCs w:val="20"/>
          <w:color w:val="auto"/>
        </w:rPr>
      </w:pPr>
      <w:r>
        <w:rPr>
          <w:rFonts w:ascii="Arial" w:cs="Arial" w:eastAsia="Arial" w:hAnsi="Arial"/>
          <w:sz w:val="16"/>
          <w:szCs w:val="16"/>
          <w:color w:val="auto"/>
        </w:rPr>
        <w:t>General and administrative expenses primarily consist of salaries, benefits and non-cash stock-based compensation for our executive and administrative personnel. General and administrative expenses also include legal expenses to pursue patent protection of our intellectual property, professional fees for audit and tax and insurance charges.</w:t>
      </w:r>
    </w:p>
    <w:p>
      <w:pPr>
        <w:spacing w:after="0" w:line="149"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We expect that our general and administrative expenses will increase as we expand our clinical programs. We also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may also incur increased costs to comply with corporate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governance, internal controls, investor relations and disclosures and similar requirements applicable to public companies.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in this Annual Report on Form 10-K.</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Research and development expenses for the years ended December 31, 2021 and 2020 were $52,708 and $57,995, respectively. Research and development expenses for the years ended December 31, 2021 and 2020 were comprised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$ 14,624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6,658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14,226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30,808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(16,582)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 ("CMC")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680" w:type="dxa"/>
            <w:vAlign w:val="bottom"/>
          </w:tcPr>
          <w:p>
            <w:pPr>
              <w:jc w:val="right"/>
              <w:spacing w:after="0"/>
              <w:rPr>
                <w:sz w:val="20"/>
                <w:szCs w:val="20"/>
                <w:color w:val="auto"/>
              </w:rPr>
            </w:pPr>
            <w:r>
              <w:rPr>
                <w:rFonts w:ascii="Arial" w:cs="Arial" w:eastAsia="Arial" w:hAnsi="Arial"/>
                <w:sz w:val="18"/>
                <w:szCs w:val="18"/>
                <w:color w:val="auto"/>
              </w:rPr>
              <w:t>2,124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0"/>
        </w:trPr>
        <w:tc>
          <w:tcPr>
            <w:tcW w:w="556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$ 52,708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57,995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decrease of $5,287 for the year ended December 31, 2021 is primarily attributable to:</w:t>
      </w:r>
    </w:p>
    <w:p>
      <w:pPr>
        <w:spacing w:after="0" w:line="225"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Decreased Clinical trial expenses resulting from the completion of our SERENITY I and II, TRANQUILITY, RELEASE and BXCL501 bioavailability clinical trials, partially offset by increased costs related to the 40mcg cohort expansion of our Tranquility trial. These decreases were further offset by increased costs in our BXCL701 prostate cancer and basket trials.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Lower CMC costs tracked the decrease in fewer BXCL501 manufacturing costs.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decreases were partially offset by:</w:t>
      </w:r>
    </w:p>
    <w:p>
      <w:pPr>
        <w:spacing w:after="0" w:line="225" w:lineRule="exact"/>
        <w:rPr>
          <w:sz w:val="20"/>
          <w:szCs w:val="20"/>
          <w:color w:val="auto"/>
        </w:rPr>
      </w:pPr>
    </w:p>
    <w:p>
      <w:pPr>
        <w:jc w:val="both"/>
        <w:ind w:left="60" w:right="219" w:firstLine="324"/>
        <w:spacing w:after="0" w:line="342" w:lineRule="auto"/>
        <w:rPr>
          <w:sz w:val="20"/>
          <w:szCs w:val="20"/>
          <w:color w:val="auto"/>
        </w:rPr>
      </w:pPr>
      <w:r>
        <w:rPr>
          <w:rFonts w:ascii="Arial" w:cs="Arial" w:eastAsia="Arial" w:hAnsi="Arial"/>
          <w:sz w:val="16"/>
          <w:szCs w:val="16"/>
          <w:color w:val="auto"/>
        </w:rPr>
        <w:t>Increased personnel and related costs due to our efforts to enlarge our clinical and medical teams as we expanded our clinical and medical programs during the year in preparation of the potential commercial launch of BXCL501 in the U.S.</w:t>
      </w:r>
    </w:p>
    <w:p>
      <w:pPr>
        <w:spacing w:after="0" w:line="12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Increased non-cash stock-based compensation as result of the additional personnel hired during the year. However, the increase was moderated by a combination of reduced expense due to forfeitures and lower grant date fair values resulting from lower market prices of the Company’s common stock.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increase in professional fees was generally due to increased regulatory, consulting and toxicology fees related to the BXCL501 program.</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Travel and other costs were higher due to increased headcount.</w:t>
      </w:r>
    </w:p>
    <w:p>
      <w:pPr>
        <w:spacing w:after="0" w:line="225"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The State of Connecticut provides companies with the opportunity to exchange certain research and development credit carryforwards for cash in exchange for foregoing the carryforward of the research and development credit. The program provides for such exchange of the research and development credit at a rate of 65% of the annual research and development credit. The benefit for such exchange is recorded as a reduction of research and development expenditures. The credit decreased in 2021 as a result of lower clinical trial activity.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jc w:val="both"/>
        <w:ind w:left="60" w:right="399" w:firstLine="324"/>
        <w:spacing w:after="0" w:line="263" w:lineRule="auto"/>
        <w:rPr>
          <w:sz w:val="20"/>
          <w:szCs w:val="20"/>
          <w:color w:val="auto"/>
        </w:rPr>
      </w:pPr>
      <w:r>
        <w:rPr>
          <w:rFonts w:ascii="Arial" w:cs="Arial" w:eastAsia="Arial" w:hAnsi="Arial"/>
          <w:sz w:val="18"/>
          <w:szCs w:val="18"/>
          <w:color w:val="auto"/>
        </w:rPr>
        <w:t>General and administrative expenses for the years ended December 31, 2021 and 2020 were $54,227 and $24,302, respectively. General and administrative expenses for the years ended December 31, 2021 and 2020 were comprised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6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82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12,798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4,207</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16,070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13,583</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5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54,227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24,302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29,925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of $29,925 for the year ended December 31, 2021 is primarily attributable to:</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Increased personnel and related costs due to substantially higher headcount in 2021 in preparation of the potential commercial launch of BXCL501 in the U.S.</w:t>
      </w:r>
    </w:p>
    <w:p>
      <w:pPr>
        <w:spacing w:after="0" w:line="170" w:lineRule="exact"/>
        <w:rPr>
          <w:sz w:val="20"/>
          <w:szCs w:val="20"/>
          <w:color w:val="auto"/>
        </w:rPr>
      </w:pPr>
    </w:p>
    <w:p>
      <w:pPr>
        <w:jc w:val="both"/>
        <w:ind w:left="60" w:right="299" w:firstLine="324"/>
        <w:spacing w:after="0" w:line="286" w:lineRule="auto"/>
        <w:rPr>
          <w:sz w:val="20"/>
          <w:szCs w:val="20"/>
          <w:color w:val="auto"/>
        </w:rPr>
      </w:pPr>
      <w:r>
        <w:rPr>
          <w:rFonts w:ascii="Arial" w:cs="Arial" w:eastAsia="Arial" w:hAnsi="Arial"/>
          <w:sz w:val="17"/>
          <w:szCs w:val="17"/>
          <w:color w:val="auto"/>
        </w:rPr>
        <w:t>Increased non-cash stock-based compensation as result of the granting of awards to increased number of personnel hired during the year. However, the increase was moderated by a combination of reduced expense due to forfeitures and lower grant date fair values resulting from lower market prices of the Company’s common stock.</w:t>
      </w:r>
    </w:p>
    <w:p>
      <w:pPr>
        <w:spacing w:after="0" w:line="165"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Increased professional fees due to the expanding growth of our operations and was primarily related to increased corporate patent legal fee and investor relations fees.</w:t>
      </w:r>
    </w:p>
    <w:p>
      <w:pPr>
        <w:spacing w:after="0" w:line="170"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Significant commercial costs incurred due to the increased complexity and growth as we prepare for the potential commercial launch of BXCL501 in the U.S. We also experienced increased market research fees related to the potential commercial launch of BXCL501 in the U.S.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Increased insurance costs primarily related to an increase in Director and Officer liability premiums.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Travel and other expenses approximated the prior year.</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As of December 31, 2021, we had cash and cash equivalents of $232,968, working capital of $220,145 and stockholders’ equity of $221,667. Net cash used in operating activities was $82,153 and $66,350 for the years ended December 31, 2021 and 2020, respectively. We incurred losses of approximately $106,931 and $82,169 for the years ended December 31, 2021 and 2020, respectively.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 equivalents as of December 31, 2021 will enable us to fund our operating expenses and capital expenditure requirements for at least one year from the date of this Annual Report on Form 10-K.</w:t>
      </w:r>
    </w:p>
    <w:p>
      <w:pPr>
        <w:spacing w:after="0" w:line="165"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We may obtain additional financing through sales of the Company’s equity securities,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is uncertain as of the filing date of this Annual Report on Form 10-K, as the pandemic continues to evolve globally. See “Risk Factors—The COVID-19 pandemic , or other pandemics, epidemics or outbreaks of an infectious disease may materially and adversely impact our business, including our preclinical studies and clinical trials.” in Part I, Item 1A. of this Annual Report on Form 10-K for a further discussion of the potential impact of the COVID-19 pandemic on our business.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We have focused our efforts on raising capital and building the products in our pipeline. Since our inception, our operations have been financed primarily by BioXcel LLC and from proceeds from the sale of equity securities, including stock issuances including our initial public offering, private placements of our common stock, and registered offerings of our common stock and an Open Market Sale Agreement (“ATM Program”). We have not yet established an ongoing source of revenue sufficient to cover our operating costs and will need to do so in future periods.</w:t>
      </w:r>
    </w:p>
    <w:p>
      <w:pPr>
        <w:spacing w:after="0" w:line="176"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In May 2021, the Company entered into an Open Market Sale Agreement (the “Sale Agreement”) with Jefferies LLC (“Jefferies”) pursuant to which the Company could offer and sell shares of its common stock, par value $0.001 per share (the “Common Stock”), having an aggregate offering price of up to $100,000, from time to time, through an “at the marketing offering” program under which Jefferies will act as sale agent. The Company sold 124 shares under the Sale Agreement in June 2021. As of December 31, 2021, the Company received proceeds of $4,056, net of issuance costs of $500.</w:t>
      </w:r>
    </w:p>
    <w:p>
      <w:pPr>
        <w:spacing w:after="0" w:line="192"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In June 2021, the Company sold in a registered offering 3,155 shares of its common stock at a public offering price of $31.70 per share. The Company received proceeds of $96,937, net of issuance costs of $3,042.</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February 2020, we sold in a registered offering 2,300 shares of our common stock at a public offering price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$32.00 per share for gross proceeds of $73,600 less underwriting discounts and commissions. We received net proceeds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approximately $68,811.</w:t>
      </w:r>
    </w:p>
    <w:p>
      <w:pPr>
        <w:spacing w:after="0" w:line="211"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We received funds under the Paycheck Protection Program of the Coronavirus Aid, Relief, and Economic Security Act (“CARES Act”) in April 2020 in the amount of $537. On April 23, 2020 the Small Business Administration issued a new FAQ #31, which provided guidance on what it means to certify that: “current economic uncertainty makes this loan request necessary to support the ongoing operations of the Applicant.” Following review of this new FAQ #31 we decided to withdraw from the Paycheck Protection Program and have repaid the loan in full together with all accrued interest.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In July 2020, we sold in a registered offering 4,000 shares of our common stock at a public offering price of $50.00 per share for gross proceeds of $200,000 less underwriting discounts and commissions. We received net proceeds of approximately $186,974.</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98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11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(82,153)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(66,350)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672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102,447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247,359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Cash used in operating activities was $82,153 for the year ended December 31, 2021 and was primarily attributable to our $106,931 net loss and a $130 increase in prepaid expense and other assets, partially offset by $19,455 in stock-based compensation and a $4,850 increase in accounts payable and accrued expenses.</w:t>
      </w:r>
    </w:p>
    <w:p>
      <w:pPr>
        <w:spacing w:after="0" w:line="184" w:lineRule="exact"/>
        <w:rPr>
          <w:sz w:val="20"/>
          <w:szCs w:val="20"/>
          <w:color w:val="auto"/>
        </w:rPr>
      </w:pPr>
    </w:p>
    <w:p>
      <w:pPr>
        <w:jc w:val="both"/>
        <w:ind w:left="60" w:right="159" w:firstLine="324"/>
        <w:spacing w:after="0" w:line="311" w:lineRule="auto"/>
        <w:rPr>
          <w:sz w:val="20"/>
          <w:szCs w:val="20"/>
          <w:color w:val="auto"/>
        </w:rPr>
      </w:pPr>
      <w:r>
        <w:rPr>
          <w:rFonts w:ascii="Arial" w:cs="Arial" w:eastAsia="Arial" w:hAnsi="Arial"/>
          <w:sz w:val="16"/>
          <w:szCs w:val="16"/>
          <w:color w:val="auto"/>
        </w:rPr>
        <w:t>Cash used in operating activities was $66,350 for the year ended December 31, 2020 and was primarily attributable to our $82,169 net loss and a $2,301 increase in prepaid expenses and other assets, partially offset by $14,611 in stock-based compensation and a $3,197 increase in accounts payable, accrued expenses and other liabilities.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ind w:left="60" w:right="159" w:firstLine="324"/>
        <w:spacing w:after="0" w:line="277" w:lineRule="auto"/>
        <w:rPr>
          <w:sz w:val="20"/>
          <w:szCs w:val="20"/>
          <w:color w:val="auto"/>
        </w:rPr>
      </w:pPr>
      <w:r>
        <w:rPr>
          <w:rFonts w:ascii="Arial" w:cs="Arial" w:eastAsia="Arial" w:hAnsi="Arial"/>
          <w:sz w:val="18"/>
          <w:szCs w:val="18"/>
          <w:color w:val="auto"/>
        </w:rPr>
        <w:t>Cash used in investing activities was $445 for the year ended December 31, 2021 and was attributable to the purchase of furniture and leasehold improvements.</w:t>
      </w:r>
    </w:p>
    <w:p>
      <w:pPr>
        <w:spacing w:after="0" w:line="170" w:lineRule="exact"/>
        <w:rPr>
          <w:sz w:val="20"/>
          <w:szCs w:val="20"/>
          <w:color w:val="auto"/>
        </w:rPr>
      </w:pPr>
    </w:p>
    <w:p>
      <w:pPr>
        <w:jc w:val="both"/>
        <w:ind w:left="60" w:right="159" w:firstLine="324"/>
        <w:spacing w:after="0" w:line="277" w:lineRule="auto"/>
        <w:rPr>
          <w:sz w:val="20"/>
          <w:szCs w:val="20"/>
          <w:color w:val="auto"/>
        </w:rPr>
      </w:pPr>
      <w:r>
        <w:rPr>
          <w:rFonts w:ascii="Arial" w:cs="Arial" w:eastAsia="Arial" w:hAnsi="Arial"/>
          <w:sz w:val="18"/>
          <w:szCs w:val="18"/>
          <w:color w:val="auto"/>
        </w:rPr>
        <w:t>Cash used in investing activities was $316 for the year ended December 31, 2020 and was attributable to the purchase of equipment and leasehold improvements.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Cash provided by financing activities was $102,447 for the year ended December 31, 2021 and was attributable to $96,937 in net proceeds from the issuance of common stock in our June 2021 public offering, and $4,056 in net proceeds from the sale of common stock under our ATM Program. Proceeds of $1,454 from the exercise of stock options provided the remainder.</w:t>
      </w:r>
    </w:p>
    <w:p>
      <w:pPr>
        <w:spacing w:after="0" w:line="187"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Net cash provided by financing activities was $247,359 for the year ended December 31, 2020 and was primarily attributable to the net proceeds of $68,811 from our February 2020 offering combined with net proceeds of $186,974 from our July 2020 offering. Additionally, we received $598 in proceeds from the exercise of stock options. This amount was partially offset by $9,024 used for the purchase and cancellation of 300,000 shares of common stock owned by BioXcel LLC in February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left="60" w:right="459" w:firstLine="324"/>
        <w:spacing w:after="0" w:line="273"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7" w:lineRule="exact"/>
        <w:rPr>
          <w:sz w:val="20"/>
          <w:szCs w:val="20"/>
          <w:color w:val="auto"/>
        </w:rPr>
      </w:pPr>
    </w:p>
    <w:p>
      <w:pPr>
        <w:ind w:left="700" w:hanging="32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additional product candidates;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9" w:lineRule="exact"/>
        <w:rPr>
          <w:rFonts w:ascii="Arial" w:cs="Arial" w:eastAsia="Arial" w:hAnsi="Arial"/>
          <w:sz w:val="18"/>
          <w:szCs w:val="18"/>
          <w:color w:val="auto"/>
        </w:rPr>
      </w:pPr>
    </w:p>
    <w:p>
      <w:pPr>
        <w:ind w:left="700" w:right="99" w:hanging="326"/>
        <w:spacing w:after="0" w:line="250"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ind w:left="700" w:hanging="32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9" w:lineRule="exact"/>
        <w:rPr>
          <w:rFonts w:ascii="Arial" w:cs="Arial" w:eastAsia="Arial" w:hAnsi="Arial"/>
          <w:sz w:val="18"/>
          <w:szCs w:val="18"/>
          <w:color w:val="auto"/>
        </w:rPr>
      </w:pPr>
    </w:p>
    <w:p>
      <w:pPr>
        <w:ind w:left="700" w:right="739" w:hanging="326"/>
        <w:spacing w:after="0" w:line="281"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 w:lineRule="exact"/>
        <w:rPr>
          <w:rFonts w:ascii="Arial" w:cs="Arial" w:eastAsia="Arial" w:hAnsi="Arial"/>
          <w:sz w:val="16"/>
          <w:szCs w:val="16"/>
          <w:color w:val="auto"/>
        </w:rPr>
      </w:pPr>
    </w:p>
    <w:p>
      <w:pPr>
        <w:ind w:left="700" w:hanging="32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00" w:lineRule="exact"/>
        <w:rPr>
          <w:sz w:val="20"/>
          <w:szCs w:val="20"/>
          <w:color w:val="auto"/>
        </w:rPr>
      </w:pPr>
    </w:p>
    <w:p>
      <w:pPr>
        <w:spacing w:after="0" w:line="227"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We believe that our existing cash and cash equivalents as of December 31, 2021 will be sufficient to enable us to fund operating expenses and capital expenditure requirements for at least the next 12 months from the date of the issuance of the financial statements included in this Annual Report on Form 10-K and will be sufficient to fund our ongoing research and development efforts and commercialization preparation through 2022. We expect that we will need to obtain substantial additional funding in order to fund our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0" w:lineRule="exact"/>
        <w:rPr>
          <w:sz w:val="20"/>
          <w:szCs w:val="20"/>
          <w:color w:val="auto"/>
        </w:rPr>
      </w:pPr>
    </w:p>
    <w:p>
      <w:pPr>
        <w:ind w:left="60" w:right="179" w:firstLine="357"/>
        <w:spacing w:after="0" w:line="279" w:lineRule="auto"/>
        <w:rPr>
          <w:sz w:val="20"/>
          <w:szCs w:val="20"/>
          <w:color w:val="auto"/>
        </w:rPr>
      </w:pPr>
      <w:r>
        <w:rPr>
          <w:rFonts w:ascii="Arial" w:cs="Arial" w:eastAsia="Arial" w:hAnsi="Arial"/>
          <w:sz w:val="17"/>
          <w:szCs w:val="17"/>
          <w:color w:val="auto"/>
        </w:rPr>
        <w:t>The preparation of our financial statements in conformity with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198" w:lineRule="exact"/>
        <w:rPr>
          <w:sz w:val="20"/>
          <w:szCs w:val="20"/>
          <w:color w:val="auto"/>
        </w:rPr>
      </w:pPr>
    </w:p>
    <w:p>
      <w:pPr>
        <w:ind w:left="60" w:right="179" w:firstLine="360"/>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and the regulatory environment. We periodically re-evaluate our estimates and assumptions with respect to these judgments and modify our approach when circumstances indicate that modifications are necessary.</w:t>
      </w:r>
    </w:p>
    <w:p>
      <w:pPr>
        <w:spacing w:after="0" w:line="228" w:lineRule="exact"/>
        <w:rPr>
          <w:sz w:val="20"/>
          <w:szCs w:val="20"/>
          <w:color w:val="auto"/>
        </w:rPr>
      </w:pPr>
    </w:p>
    <w:p>
      <w:pPr>
        <w:ind w:left="60" w:right="159" w:firstLine="357"/>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50"/>
        <w:spacing w:after="0" w:line="277" w:lineRule="auto"/>
        <w:rPr>
          <w:sz w:val="20"/>
          <w:szCs w:val="20"/>
          <w:color w:val="auto"/>
        </w:rPr>
      </w:pPr>
      <w:r>
        <w:rPr>
          <w:rFonts w:ascii="Arial" w:cs="Arial" w:eastAsia="Arial" w:hAnsi="Arial"/>
          <w:sz w:val="18"/>
          <w:szCs w:val="18"/>
          <w:color w:val="auto"/>
        </w:rPr>
        <w:t>A description of significant accounting policies that require us to make estimates and assumptions in the preparation of our financial statements is as follows: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66"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The Company accounts for stock-based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which requires the measurement and recognition of compensation expense based on estimated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all share-based awards made to employees and non-employee service providers, including stock options. The Company’s 2017 Equity Incentive Plan (the “2017 Plan”) became effective in August 2017. The Company’s 2020 Incentive Award Plan (the “2020 Plan”) became effective in May 2020. Following the effective date of the Company’s 2020 Plan, the Company ceased granting awards under the 2017 Plan; however the terms and conditions of the 2017 Plan continue to govern any outstanding awards granted thereunder.</w:t>
      </w:r>
    </w:p>
    <w:p>
      <w:pPr>
        <w:spacing w:after="0" w:line="177"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Company’s stock option awards are valued at fair value on the date of grant and that fair value is recognized over the requisite service period. The Company utilizes the Black-Scholes option pricing model for determining the estimated fair value for stock-based awards. The Black-Scholes model requires the use of assumptions which determine the fair value of the stock-based awards. Determining the fair value of stock-based awards at the grant date requires judgment, including estimating the expected term of the stock options, the expected volatility of our stock and expected dividends. Prior to the IPO, significant judgement and estimates were used to estimate the fair value of these awards, as the shares of common stock underlying these awards were not then publicly traded. Stock awards granted by the Company subsequent to its IPO are valued using market prices at the date of grant. The Company has elected to account for forfeitures as they occur, by reversing compensation cost when the award is forfeited.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Accruals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Research and development costs are expensed as incurred. Clinical study costs are accrued over the service periods specified in the contracts and adjusted as necessary based upon an ongoing review of the level of effort and costs actually incurred. The Company’s assessment of the completeness of the information is subject to variability and uncertainty.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addition, in certain circumstances, the determination of the nature and amount of services that have been received during the reporting period requires judgment as the timing and pattern of vendor invoicing does not correspond to the level of services provided. If the actual timing of the performance of services or the level of effort varies from our estimate, we adjust the accrual accordingly.</w:t>
      </w:r>
    </w:p>
    <w:p>
      <w:pPr>
        <w:spacing w:after="0" w:line="1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Income Taxes</w:t>
      </w:r>
    </w:p>
    <w:p>
      <w:pPr>
        <w:spacing w:after="0" w:line="21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use an asset and liability approach for financial accounting and reporting of income taxes. Deferred tax assets and liabilities are determined based on temporary differences between financial reporting and tax basis assets and liabilities and are measured by applying enacted rates and laws to taxable years in which differences are expected to be recovered or settled. Further, the effect on deferred tax assets and liabilities of a change in tax rates is recognized in income in the period that the rate changes. A valuation allowance is required when it is “more likely than not” that all or a portion of deferred tax assets will not be realized.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apply the provisions of ASC 740, Income Taxes, which prescribes a comprehensive model for how a company should recognize, measure, present and disclose in its financial statements uncertain tax positions that the company has taken or expects to take on a tax return, including a decision whether to file or not file a return in a particular jurisdiction. Our financial statements reflect expected future tax consequences of such positions presuming the taxing authorities’ full knowledge of the position and all relevant facts.</w:t>
      </w:r>
    </w:p>
    <w:p>
      <w:pPr>
        <w:spacing w:after="0" w:line="18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do not have any unrecognized tax benefits as of December 31, 2021. We review all tax positions to ensure the tax treatment selected is sustainable based on its technical merits and that the position would be sustained if challenged.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9" w:lineRule="exact"/>
        <w:rPr>
          <w:sz w:val="20"/>
          <w:szCs w:val="20"/>
          <w:color w:val="auto"/>
        </w:rPr>
      </w:pPr>
    </w:p>
    <w:p>
      <w:pPr>
        <w:ind w:left="60" w:right="59" w:firstLine="324"/>
        <w:spacing w:after="0" w:line="233" w:lineRule="auto"/>
        <w:rPr>
          <w:sz w:val="20"/>
          <w:szCs w:val="20"/>
          <w:color w:val="auto"/>
        </w:rPr>
      </w:pPr>
      <w:r>
        <w:rPr>
          <w:rFonts w:ascii="Arial" w:cs="Arial" w:eastAsia="Arial" w:hAnsi="Arial"/>
          <w:sz w:val="18"/>
          <w:szCs w:val="18"/>
          <w:color w:val="auto"/>
        </w:rPr>
        <w:t>In August 2018, the Company entered into an agreement to lease approximately 11,040 square feet of space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the building located at 555 Long Wharf Drive, New Haven, Connecticut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which was effective February 22, 2019.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expires in February 2026.</w:t>
      </w:r>
    </w:p>
    <w:p>
      <w:pPr>
        <w:spacing w:after="0" w:line="83" w:lineRule="exact"/>
        <w:rPr>
          <w:sz w:val="20"/>
          <w:szCs w:val="20"/>
          <w:color w:val="auto"/>
        </w:rPr>
      </w:pPr>
    </w:p>
    <w:p>
      <w:pPr>
        <w:ind w:left="60" w:right="459" w:firstLine="324"/>
        <w:spacing w:after="0" w:line="237" w:lineRule="auto"/>
        <w:rPr>
          <w:sz w:val="20"/>
          <w:szCs w:val="20"/>
          <w:color w:val="auto"/>
        </w:rPr>
      </w:pPr>
      <w:r>
        <w:rPr>
          <w:rFonts w:ascii="Arial" w:cs="Arial" w:eastAsia="Arial" w:hAnsi="Arial"/>
          <w:sz w:val="16"/>
          <w:szCs w:val="16"/>
          <w:color w:val="auto"/>
        </w:rPr>
        <w:t>In August 2020, the Company entered into an amendment to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wherein the Company leased an additional 7,245 square feet of space on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of the building located at 555 Long Wharf Drive, New Haven, Connecticut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expires in February 2026.</w:t>
      </w:r>
    </w:p>
    <w:p>
      <w:pPr>
        <w:spacing w:after="0" w:line="80" w:lineRule="exact"/>
        <w:rPr>
          <w:sz w:val="20"/>
          <w:szCs w:val="20"/>
          <w:color w:val="auto"/>
        </w:rPr>
      </w:pPr>
    </w:p>
    <w:p>
      <w:pPr>
        <w:ind w:left="60" w:right="299" w:firstLine="324"/>
        <w:spacing w:after="0" w:line="226" w:lineRule="auto"/>
        <w:rPr>
          <w:sz w:val="20"/>
          <w:szCs w:val="20"/>
          <w:color w:val="auto"/>
        </w:rPr>
      </w:pPr>
      <w:r>
        <w:rPr>
          <w:rFonts w:ascii="Arial" w:cs="Arial" w:eastAsia="Arial" w:hAnsi="Arial"/>
          <w:sz w:val="18"/>
          <w:szCs w:val="18"/>
          <w:color w:val="auto"/>
        </w:rPr>
        <w:t>The following table summarizes our contractual obligations related our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and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Amendment at December 31, 2021 and the effect such obligations are expected to have on our liquidity and cash flow in future periods: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8"/>
          </w:tcPr>
          <w:p>
            <w:pPr>
              <w:ind w:left="48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
        </w:trPr>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16"/>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Less Than</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More Than</w:t>
            </w:r>
          </w:p>
        </w:tc>
      </w:tr>
      <w:tr>
        <w:trPr>
          <w:trHeight w:val="186"/>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6"/>
                <w:szCs w:val="16"/>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5 years</w:t>
            </w:r>
          </w:p>
        </w:tc>
      </w:tr>
      <w:tr>
        <w:trPr>
          <w:trHeight w:val="25"/>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1,572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additional details, see “Note 10 to Financial Statements – Leases.”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have any off-balance sheet arrangements as of December 31, 2021 or 2020, as defined under SEC rules.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239" w:firstLine="324"/>
        <w:spacing w:after="0" w:line="279"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As of December 31, 2021, we had $232,968 cash and cash equivalents. Our cash equivalents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held in U.S. Government money market funds. We do not participate in any foreign currency hedging activities and we do not have any other derivative financial instruments. We did not recognize any significant exchange rate losses during the years ended December 31, 2021 and 2020, respectively.</w:t>
      </w:r>
    </w:p>
    <w:p>
      <w:pPr>
        <w:spacing w:after="0" w:line="171"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71" w:lineRule="exact"/>
        <w:rPr>
          <w:sz w:val="20"/>
          <w:szCs w:val="20"/>
          <w:color w:val="auto"/>
        </w:rPr>
      </w:pPr>
    </w:p>
    <w:p>
      <w:pPr>
        <w:jc w:val="both"/>
        <w:ind w:left="60" w:right="259" w:firstLine="324"/>
        <w:spacing w:after="0" w:line="311" w:lineRule="auto"/>
        <w:rPr>
          <w:sz w:val="20"/>
          <w:szCs w:val="20"/>
          <w:color w:val="auto"/>
        </w:rPr>
      </w:pPr>
      <w:r>
        <w:rPr>
          <w:rFonts w:ascii="Arial" w:cs="Arial" w:eastAsia="Arial" w:hAnsi="Arial"/>
          <w:sz w:val="16"/>
          <w:szCs w:val="16"/>
          <w:i w:val="1"/>
          <w:iCs w:val="1"/>
          <w:color w:val="auto"/>
        </w:rPr>
        <w:t>Capital Market Risk</w:t>
      </w:r>
      <w:r>
        <w:rPr>
          <w:rFonts w:ascii="Arial" w:cs="Arial" w:eastAsia="Arial" w:hAnsi="Arial"/>
          <w:sz w:val="16"/>
          <w:szCs w:val="16"/>
          <w:color w:val="auto"/>
        </w:rPr>
        <w:t>. We currently have no product revenues and depend on funds raised through other sources. Our</w:t>
      </w:r>
      <w:r>
        <w:rPr>
          <w:rFonts w:ascii="Arial" w:cs="Arial" w:eastAsia="Arial" w:hAnsi="Arial"/>
          <w:sz w:val="16"/>
          <w:szCs w:val="16"/>
          <w:i w:val="1"/>
          <w:iCs w:val="1"/>
          <w:color w:val="auto"/>
        </w:rPr>
        <w:t xml:space="preserve"> </w:t>
      </w:r>
      <w:r>
        <w:rPr>
          <w:rFonts w:ascii="Arial" w:cs="Arial" w:eastAsia="Arial" w:hAnsi="Arial"/>
          <w:sz w:val="16"/>
          <w:szCs w:val="16"/>
          <w:color w:val="auto"/>
        </w:rPr>
        <w:t>sources of funding include future debt or equity offerings. Our ability to raise funds in this manner depends upon, among other things, capital market forces affecting our stock price, and on the state of the capital markets generally.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The financial statements required pursuant to this item are included in Item 15 of this report and the related reports of our independent auditor and our former independent auditor are presented beginning on page F-1 and are incorporated under this Item by reference. Our independent auditor for the year ended December 31, 2021 is Ernst &amp; Young LLP (PCAOB ID: 42), located in Stamford, Connecticut, USA and our independent auditor for the year ended December 31, 2020 was BDO USA, LLP (PCAOB ID: 243), located in Stamford, CT, USA.</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 w:right="599" w:firstLine="324"/>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information required by this Item was previously provided in and is hereby incorporated under this Item by reference to </w:t>
      </w:r>
      <w:hyperlink r:id="rId120">
        <w:r>
          <w:rPr>
            <w:rFonts w:ascii="Arial" w:cs="Arial" w:eastAsia="Arial" w:hAnsi="Arial"/>
            <w:sz w:val="17"/>
            <w:szCs w:val="17"/>
            <w:u w:val="single" w:color="auto"/>
            <w:color w:val="0000EE"/>
          </w:rPr>
          <w:t>the Company’s Current Report on Form 8-K filed with the SEC on March 15, 2021.</w:t>
        </w:r>
      </w:hyperlink>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6"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as of December 31, 2021, our disclosure controls and procedures were effective at the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229"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2021, our internal control over financial reporting was effective.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ind w:left="60" w:right="799" w:firstLine="324"/>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2021 that have materially affected, or are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239" w:firstLine="324"/>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to the information that will be contained in our proxy statement related to our annual meeting of stockholders to be held in 2022 (the “2022 Annual Meeting of Stockholders”), which we intend to file with the SEC within 120 days of the year ended December 31, 2021.</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which we intend to file with the SEC within 120 days of the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which we intend to file with the SEC within 120 days of the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which we intend to file with the SEC within 120 days of the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which we intend to file with the SEC within 120 days of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80" w:type="dxa"/>
            <w:vAlign w:val="bottom"/>
            <w:gridSpan w:val="5"/>
          </w:tcPr>
          <w:p>
            <w:pPr>
              <w:ind w:left="620"/>
              <w:spacing w:after="0"/>
              <w:rPr>
                <w:sz w:val="20"/>
                <w:szCs w:val="20"/>
                <w:color w:val="auto"/>
              </w:rPr>
            </w:pPr>
            <w:r>
              <w:rPr>
                <w:rFonts w:ascii="Arial" w:cs="Arial" w:eastAsia="Arial" w:hAnsi="Arial"/>
                <w:sz w:val="18"/>
                <w:szCs w:val="18"/>
                <w:b w:val="1"/>
                <w:bCs w:val="1"/>
                <w:color w:val="auto"/>
              </w:rPr>
              <w:t>PART IV</w:t>
            </w:r>
          </w:p>
        </w:tc>
        <w:tc>
          <w:tcPr>
            <w:tcW w:w="1060" w:type="dxa"/>
            <w:vAlign w:val="bottom"/>
          </w:tcPr>
          <w:p>
            <w:pPr>
              <w:spacing w:after="0"/>
              <w:rPr>
                <w:sz w:val="20"/>
                <w:szCs w:val="20"/>
                <w:color w:val="auto"/>
              </w:rPr>
            </w:pPr>
          </w:p>
        </w:tc>
      </w:tr>
      <w:tr>
        <w:trPr>
          <w:trHeight w:val="432"/>
        </w:trPr>
        <w:tc>
          <w:tcPr>
            <w:tcW w:w="7840" w:type="dxa"/>
            <w:vAlign w:val="bottom"/>
            <w:gridSpan w:val="7"/>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060" w:type="dxa"/>
            <w:vAlign w:val="bottom"/>
          </w:tcPr>
          <w:p>
            <w:pPr>
              <w:spacing w:after="0"/>
              <w:rPr>
                <w:sz w:val="24"/>
                <w:szCs w:val="24"/>
                <w:color w:val="auto"/>
              </w:rPr>
            </w:pPr>
          </w:p>
        </w:tc>
      </w:tr>
      <w:tr>
        <w:trPr>
          <w:trHeight w:val="449"/>
        </w:trPr>
        <w:tc>
          <w:tcPr>
            <w:tcW w:w="7840" w:type="dxa"/>
            <w:vAlign w:val="bottom"/>
            <w:gridSpan w:val="7"/>
          </w:tcPr>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17"/>
                <w:szCs w:val="17"/>
                <w:color w:val="auto"/>
              </w:rPr>
              <w:t>The following documents are filed as part of this report:</w:t>
            </w:r>
          </w:p>
        </w:tc>
        <w:tc>
          <w:tcPr>
            <w:tcW w:w="1060" w:type="dxa"/>
            <w:vAlign w:val="bottom"/>
          </w:tcPr>
          <w:p>
            <w:pPr>
              <w:spacing w:after="0"/>
              <w:rPr>
                <w:sz w:val="24"/>
                <w:szCs w:val="24"/>
                <w:color w:val="auto"/>
              </w:rPr>
            </w:pPr>
          </w:p>
        </w:tc>
      </w:tr>
      <w:tr>
        <w:trPr>
          <w:trHeight w:val="428"/>
        </w:trPr>
        <w:tc>
          <w:tcPr>
            <w:tcW w:w="7840" w:type="dxa"/>
            <w:vAlign w:val="bottom"/>
            <w:gridSpan w:val="7"/>
          </w:tcPr>
          <w:p>
            <w:pPr>
              <w:ind w:left="660"/>
              <w:spacing w:after="0"/>
              <w:rPr>
                <w:sz w:val="20"/>
                <w:szCs w:val="20"/>
                <w:color w:val="auto"/>
              </w:rPr>
            </w:pPr>
            <w:r>
              <w:rPr>
                <w:rFonts w:ascii="Arial" w:cs="Arial" w:eastAsia="Arial" w:hAnsi="Arial"/>
                <w:sz w:val="18"/>
                <w:szCs w:val="18"/>
                <w:color w:val="auto"/>
              </w:rPr>
              <w:t>(1) Financial Statements:</w:t>
            </w:r>
          </w:p>
        </w:tc>
        <w:tc>
          <w:tcPr>
            <w:tcW w:w="1060" w:type="dxa"/>
            <w:vAlign w:val="bottom"/>
          </w:tcPr>
          <w:p>
            <w:pPr>
              <w:spacing w:after="0"/>
              <w:rPr>
                <w:sz w:val="24"/>
                <w:szCs w:val="24"/>
                <w:color w:val="auto"/>
              </w:rPr>
            </w:pPr>
          </w:p>
        </w:tc>
      </w:tr>
      <w:tr>
        <w:trPr>
          <w:trHeight w:val="391"/>
        </w:trPr>
        <w:tc>
          <w:tcPr>
            <w:tcW w:w="7840" w:type="dxa"/>
            <w:vAlign w:val="bottom"/>
            <w:gridSpan w:val="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Reports of Independent Registered Public Accounting Firm</w:t>
              </w:r>
            </w:hyperlink>
          </w:p>
        </w:tc>
        <w:tc>
          <w:tcPr>
            <w:tcW w:w="1060" w:type="dxa"/>
            <w:vAlign w:val="bottom"/>
          </w:tcPr>
          <w:p>
            <w:pPr>
              <w:ind w:left="800"/>
              <w:spacing w:after="0"/>
              <w:rPr>
                <w:sz w:val="20"/>
                <w:szCs w:val="20"/>
                <w:color w:val="auto"/>
              </w:rPr>
            </w:pPr>
            <w:r>
              <w:rPr>
                <w:rFonts w:ascii="Arial" w:cs="Arial" w:eastAsia="Arial" w:hAnsi="Arial"/>
                <w:sz w:val="18"/>
                <w:szCs w:val="18"/>
                <w:color w:val="auto"/>
                <w:w w:val="88"/>
              </w:rPr>
              <w:t>F-2</w:t>
            </w:r>
          </w:p>
        </w:tc>
      </w:tr>
      <w:tr>
        <w:trPr>
          <w:trHeight w:val="196"/>
        </w:trPr>
        <w:tc>
          <w:tcPr>
            <w:tcW w:w="4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Balance Sheets as of December 31, 2021 and 20</w:t>
              </w:r>
            </w:hyperlink>
            <w:r>
              <w:rPr>
                <w:rFonts w:ascii="Arial" w:cs="Arial" w:eastAsia="Arial" w:hAnsi="Arial"/>
                <w:sz w:val="18"/>
                <w:szCs w:val="18"/>
                <w:color w:val="000000"/>
              </w:rPr>
              <w:t>20</w:t>
            </w:r>
          </w:p>
        </w:tc>
        <w:tc>
          <w:tcPr>
            <w:tcW w:w="3560" w:type="dxa"/>
            <w:vAlign w:val="bottom"/>
            <w:gridSpan w:val="4"/>
          </w:tcPr>
          <w:p>
            <w:pPr>
              <w:spacing w:after="0"/>
              <w:rPr>
                <w:sz w:val="17"/>
                <w:szCs w:val="17"/>
                <w:color w:val="auto"/>
              </w:rPr>
            </w:pPr>
          </w:p>
        </w:tc>
        <w:tc>
          <w:tcPr>
            <w:tcW w:w="1060" w:type="dxa"/>
            <w:vAlign w:val="bottom"/>
          </w:tcPr>
          <w:p>
            <w:pPr>
              <w:ind w:left="80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21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7840" w:type="dxa"/>
            <w:vAlign w:val="bottom"/>
            <w:gridSpan w:val="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Statements of Operations for the Years Ended December 31, 2021 and 20</w:t>
              </w:r>
            </w:hyperlink>
            <w:r>
              <w:rPr>
                <w:rFonts w:ascii="Arial" w:cs="Arial" w:eastAsia="Arial" w:hAnsi="Arial"/>
                <w:sz w:val="18"/>
                <w:szCs w:val="18"/>
                <w:color w:val="000000"/>
              </w:rPr>
              <w:t>20</w:t>
            </w:r>
          </w:p>
        </w:tc>
        <w:tc>
          <w:tcPr>
            <w:tcW w:w="1060" w:type="dxa"/>
            <w:vAlign w:val="bottom"/>
          </w:tcPr>
          <w:p>
            <w:pPr>
              <w:ind w:left="80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214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7840" w:type="dxa"/>
            <w:vAlign w:val="bottom"/>
            <w:gridSpan w:val="7"/>
          </w:tcPr>
          <w:p>
            <w:pPr>
              <w:spacing w:after="0" w:line="196" w:lineRule="exact"/>
              <w:rPr>
                <w:rFonts w:ascii="Arial" w:cs="Arial" w:eastAsia="Arial" w:hAnsi="Arial"/>
                <w:sz w:val="18"/>
                <w:szCs w:val="18"/>
                <w:color w:val="0000EE"/>
                <w:w w:val="99"/>
              </w:rPr>
            </w:pPr>
            <w:hyperlink w:anchor="page116">
              <w:r>
                <w:rPr>
                  <w:rFonts w:ascii="Arial" w:cs="Arial" w:eastAsia="Arial" w:hAnsi="Arial"/>
                  <w:sz w:val="18"/>
                  <w:szCs w:val="18"/>
                  <w:color w:val="0000EE"/>
                  <w:w w:val="99"/>
                </w:rPr>
                <w:t>Statements of Changes in Stockholders’ Equity for the Years Ended December 31, 2021 and 20</w:t>
              </w:r>
            </w:hyperlink>
            <w:r>
              <w:rPr>
                <w:rFonts w:ascii="Arial" w:cs="Arial" w:eastAsia="Arial" w:hAnsi="Arial"/>
                <w:sz w:val="18"/>
                <w:szCs w:val="18"/>
                <w:color w:val="000000"/>
                <w:w w:val="99"/>
              </w:rPr>
              <w:t>20</w:t>
            </w:r>
          </w:p>
        </w:tc>
        <w:tc>
          <w:tcPr>
            <w:tcW w:w="1060" w:type="dxa"/>
            <w:vAlign w:val="bottom"/>
          </w:tcPr>
          <w:p>
            <w:pPr>
              <w:ind w:left="80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6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Statements of Cash Flows for the Years Ended December 31, 2021 and 20</w:t>
              </w:r>
            </w:hyperlink>
            <w:r>
              <w:rPr>
                <w:rFonts w:ascii="Arial" w:cs="Arial" w:eastAsia="Arial" w:hAnsi="Arial"/>
                <w:sz w:val="18"/>
                <w:szCs w:val="18"/>
                <w:color w:val="000000"/>
              </w:rPr>
              <w:t>20</w:t>
            </w:r>
          </w:p>
        </w:tc>
        <w:tc>
          <w:tcPr>
            <w:tcW w:w="980" w:type="dxa"/>
            <w:vAlign w:val="bottom"/>
          </w:tcPr>
          <w:p>
            <w:pPr>
              <w:spacing w:after="0"/>
              <w:rPr>
                <w:sz w:val="17"/>
                <w:szCs w:val="17"/>
                <w:color w:val="auto"/>
              </w:rPr>
            </w:pPr>
          </w:p>
        </w:tc>
        <w:tc>
          <w:tcPr>
            <w:tcW w:w="1060" w:type="dxa"/>
            <w:vAlign w:val="bottom"/>
          </w:tcPr>
          <w:p>
            <w:pPr>
              <w:ind w:left="80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5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Notes to Financial Statements</w:t>
              </w:r>
            </w:hyperlink>
          </w:p>
        </w:tc>
        <w:tc>
          <w:tcPr>
            <w:tcW w:w="2520" w:type="dxa"/>
            <w:vAlign w:val="bottom"/>
            <w:gridSpan w:val="2"/>
          </w:tcPr>
          <w:p>
            <w:pPr>
              <w:spacing w:after="0"/>
              <w:rPr>
                <w:sz w:val="17"/>
                <w:szCs w:val="17"/>
                <w:color w:val="auto"/>
              </w:rPr>
            </w:pPr>
          </w:p>
        </w:tc>
        <w:tc>
          <w:tcPr>
            <w:tcW w:w="1060" w:type="dxa"/>
            <w:vAlign w:val="bottom"/>
          </w:tcPr>
          <w:p>
            <w:pPr>
              <w:ind w:left="800"/>
              <w:spacing w:after="0" w:line="196" w:lineRule="exact"/>
              <w:rPr>
                <w:sz w:val="20"/>
                <w:szCs w:val="20"/>
                <w:color w:val="auto"/>
              </w:rPr>
            </w:pPr>
            <w:r>
              <w:rPr>
                <w:rFonts w:ascii="Arial" w:cs="Arial" w:eastAsia="Arial" w:hAnsi="Arial"/>
                <w:sz w:val="18"/>
                <w:szCs w:val="18"/>
                <w:color w:val="auto"/>
                <w:w w:val="88"/>
              </w:rPr>
              <w:t>F-7</w:t>
            </w:r>
          </w:p>
        </w:tc>
      </w:tr>
      <w:tr>
        <w:trPr>
          <w:trHeight w:val="20"/>
        </w:trPr>
        <w:tc>
          <w:tcPr>
            <w:tcW w:w="21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Financial Statement Schedules</w:t>
      </w:r>
      <w:r>
        <w:rPr>
          <w:rFonts w:ascii="Arial" w:cs="Arial" w:eastAsia="Arial" w:hAnsi="Arial"/>
          <w:sz w:val="19"/>
          <w:szCs w:val="19"/>
          <w:color w:val="auto"/>
        </w:rPr>
        <w:t>:</w:t>
      </w:r>
    </w:p>
    <w:p>
      <w:pPr>
        <w:spacing w:after="0" w:line="230"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 Exhibits.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17"/>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Form</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Filing Date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17"/>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4"/>
                <w:szCs w:val="14"/>
                <w:color w:val="auto"/>
              </w:rPr>
            </w:pPr>
          </w:p>
        </w:tc>
        <w:tc>
          <w:tcPr>
            <w:tcW w:w="3220" w:type="dxa"/>
            <w:vAlign w:val="bottom"/>
            <w:tcBorders>
              <w:top w:val="single" w:sz="8" w:color="auto"/>
            </w:tcBorders>
            <w:gridSpan w:val="19"/>
          </w:tcPr>
          <w:p>
            <w:pPr>
              <w:spacing w:after="0" w:line="169" w:lineRule="exact"/>
              <w:rPr>
                <w:rFonts w:ascii="Arial" w:cs="Arial" w:eastAsia="Arial" w:hAnsi="Arial"/>
                <w:sz w:val="18"/>
                <w:szCs w:val="18"/>
                <w:color w:val="0000EE"/>
              </w:rPr>
            </w:pPr>
            <w:hyperlink r:id="rId124">
              <w:r>
                <w:rPr>
                  <w:rFonts w:ascii="Arial" w:cs="Arial" w:eastAsia="Arial" w:hAnsi="Arial"/>
                  <w:sz w:val="18"/>
                  <w:szCs w:val="18"/>
                  <w:color w:val="0000EE"/>
                </w:rPr>
                <w:t>Amended and Restated Certificate of</w:t>
              </w:r>
            </w:hyperlink>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8/10/2021</w:t>
            </w:r>
          </w:p>
        </w:tc>
        <w:tc>
          <w:tcPr>
            <w:tcW w:w="1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Incorporation.</w:t>
              </w:r>
            </w:hyperlink>
          </w:p>
        </w:tc>
        <w:tc>
          <w:tcPr>
            <w:tcW w:w="1620" w:type="dxa"/>
            <w:vAlign w:val="bottom"/>
            <w:tcBorders>
              <w:top w:val="single" w:sz="8" w:color="0000EE"/>
            </w:tcBorders>
            <w:gridSpan w:val="7"/>
          </w:tcPr>
          <w:p>
            <w:pPr>
              <w:spacing w:after="0"/>
              <w:rPr>
                <w:sz w:val="17"/>
                <w:szCs w:val="17"/>
                <w:color w:val="auto"/>
              </w:rPr>
            </w:pPr>
          </w:p>
        </w:tc>
        <w:tc>
          <w:tcPr>
            <w:tcW w:w="7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4"/>
                <w:szCs w:val="24"/>
                <w:color w:val="auto"/>
              </w:rPr>
            </w:pPr>
          </w:p>
        </w:tc>
        <w:tc>
          <w:tcPr>
            <w:tcW w:w="3380" w:type="dxa"/>
            <w:vAlign w:val="bottom"/>
            <w:gridSpan w:val="20"/>
          </w:tcPr>
          <w:p>
            <w:pPr>
              <w:spacing w:after="0"/>
              <w:rPr>
                <w:rFonts w:ascii="Arial" w:cs="Arial" w:eastAsia="Arial" w:hAnsi="Arial"/>
                <w:sz w:val="18"/>
                <w:szCs w:val="18"/>
                <w:color w:val="0000EE"/>
              </w:rPr>
            </w:pPr>
            <w:hyperlink r:id="rId125">
              <w:r>
                <w:rPr>
                  <w:rFonts w:ascii="Arial" w:cs="Arial" w:eastAsia="Arial" w:hAnsi="Arial"/>
                  <w:sz w:val="18"/>
                  <w:szCs w:val="18"/>
                  <w:color w:val="0000EE"/>
                </w:rPr>
                <w:t>Amended and Restated Bylaws</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4"/>
                <w:szCs w:val="24"/>
                <w:color w:val="auto"/>
              </w:rPr>
            </w:pPr>
          </w:p>
        </w:tc>
        <w:tc>
          <w:tcPr>
            <w:tcW w:w="2980" w:type="dxa"/>
            <w:vAlign w:val="bottom"/>
            <w:tcBorders>
              <w:bottom w:val="single" w:sz="8" w:color="0000EE"/>
            </w:tcBorders>
            <w:gridSpan w:val="14"/>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Description of the Registrant’s Securities</w:t>
              </w:r>
            </w:hyperlink>
          </w:p>
        </w:tc>
        <w:tc>
          <w:tcPr>
            <w:tcW w:w="400" w:type="dxa"/>
            <w:vAlign w:val="bottom"/>
            <w:gridSpan w:val="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3/09/2020</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Registered Under Section 12 of the</w:t>
              </w:r>
            </w:hyperlink>
          </w:p>
        </w:tc>
        <w:tc>
          <w:tcPr>
            <w:tcW w:w="84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Exchange Act</w:t>
              </w:r>
            </w:hyperlink>
          </w:p>
        </w:tc>
        <w:tc>
          <w:tcPr>
            <w:tcW w:w="236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3080" w:type="dxa"/>
            <w:vAlign w:val="bottom"/>
            <w:tcBorders>
              <w:bottom w:val="single" w:sz="8" w:color="0000EE"/>
            </w:tcBorders>
            <w:gridSpan w:val="16"/>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Specimen Stock Certificate evidencing the</w:t>
              </w:r>
            </w:hyperlink>
          </w:p>
        </w:tc>
        <w:tc>
          <w:tcPr>
            <w:tcW w:w="300" w:type="dxa"/>
            <w:vAlign w:val="bottom"/>
            <w:gridSpan w:val="4"/>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2/26/2018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0"/>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shares of common stock</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4"/>
              </w:rPr>
              <w:t>10.1</w:t>
            </w:r>
            <w:r>
              <w:rPr>
                <w:rFonts w:ascii="Arial" w:cs="Arial" w:eastAsia="Arial" w:hAnsi="Arial"/>
                <w:sz w:val="26"/>
                <w:szCs w:val="26"/>
                <w:color w:val="auto"/>
                <w:w w:val="84"/>
                <w:vertAlign w:val="superscript"/>
              </w:rPr>
              <w:t>˄</w:t>
            </w:r>
          </w:p>
        </w:tc>
        <w:tc>
          <w:tcPr>
            <w:tcW w:w="12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2"/>
            <w:vMerge w:val="continue"/>
          </w:tcPr>
          <w:p>
            <w:pPr>
              <w:spacing w:after="0"/>
              <w:rPr>
                <w:sz w:val="24"/>
                <w:szCs w:val="24"/>
                <w:color w:val="auto"/>
              </w:rPr>
            </w:pPr>
          </w:p>
        </w:tc>
        <w:tc>
          <w:tcPr>
            <w:tcW w:w="3060" w:type="dxa"/>
            <w:vAlign w:val="bottom"/>
            <w:tcBorders>
              <w:bottom w:val="single" w:sz="8" w:color="0000EE"/>
            </w:tcBorders>
            <w:gridSpan w:val="15"/>
          </w:tcPr>
          <w:p>
            <w:pPr>
              <w:spacing w:after="0"/>
              <w:rPr>
                <w:rFonts w:ascii="Arial" w:cs="Arial" w:eastAsia="Arial" w:hAnsi="Arial"/>
                <w:sz w:val="18"/>
                <w:szCs w:val="18"/>
                <w:color w:val="0000EE"/>
                <w:w w:val="87"/>
              </w:rPr>
            </w:pPr>
            <w:hyperlink r:id="rId128">
              <w:r>
                <w:rPr>
                  <w:rFonts w:ascii="Arial" w:cs="Arial" w:eastAsia="Arial" w:hAnsi="Arial"/>
                  <w:sz w:val="18"/>
                  <w:szCs w:val="18"/>
                  <w:color w:val="0000EE"/>
                  <w:w w:val="87"/>
                </w:rPr>
                <w:t>Second Amended and Restated Separation</w:t>
              </w:r>
            </w:hyperlink>
          </w:p>
        </w:tc>
        <w:tc>
          <w:tcPr>
            <w:tcW w:w="320" w:type="dxa"/>
            <w:vAlign w:val="bottom"/>
            <w:gridSpan w:val="5"/>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3/09/2020</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0"/>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and Shared Services Agreement,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March 6, 2020, by and between BioXcel</w:t>
              </w:r>
            </w:hyperlink>
          </w:p>
        </w:tc>
        <w:tc>
          <w:tcPr>
            <w:tcW w:w="4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Corporation and BioXcel Therapeutics, Inc.</w:t>
              </w:r>
            </w:hyperlink>
          </w:p>
        </w:tc>
        <w:tc>
          <w:tcPr>
            <w:tcW w:w="2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40" w:type="dxa"/>
            <w:vAlign w:val="bottom"/>
          </w:tcPr>
          <w:p>
            <w:pPr>
              <w:spacing w:after="0"/>
              <w:rPr>
                <w:sz w:val="24"/>
                <w:szCs w:val="24"/>
                <w:color w:val="auto"/>
              </w:rPr>
            </w:pPr>
          </w:p>
        </w:tc>
        <w:tc>
          <w:tcPr>
            <w:tcW w:w="3080" w:type="dxa"/>
            <w:vAlign w:val="bottom"/>
            <w:tcBorders>
              <w:bottom w:val="single" w:sz="8" w:color="0000EE"/>
            </w:tcBorders>
            <w:gridSpan w:val="16"/>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First Amendment to Second Amended and</w:t>
              </w:r>
            </w:hyperlink>
          </w:p>
        </w:tc>
        <w:tc>
          <w:tcPr>
            <w:tcW w:w="300" w:type="dxa"/>
            <w:vAlign w:val="bottom"/>
            <w:gridSpan w:val="4"/>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3/12/2021</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r:id="rId128">
              <w:r>
                <w:rPr>
                  <w:rFonts w:ascii="Arial" w:cs="Arial" w:eastAsia="Arial" w:hAnsi="Arial"/>
                  <w:sz w:val="18"/>
                  <w:szCs w:val="18"/>
                  <w:color w:val="0000EE"/>
                  <w:w w:val="86"/>
                </w:rPr>
                <w:t>Restated Separation and Shared Services</w:t>
              </w:r>
            </w:hyperlink>
          </w:p>
        </w:tc>
        <w:tc>
          <w:tcPr>
            <w:tcW w:w="4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Agreement, dated March 3, 2021, by and</w:t>
              </w:r>
            </w:hyperlink>
          </w:p>
        </w:tc>
        <w:tc>
          <w:tcPr>
            <w:tcW w:w="42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between BioXcel LLC and BioXcel</w:t>
              </w:r>
            </w:hyperlink>
          </w:p>
        </w:tc>
        <w:tc>
          <w:tcPr>
            <w:tcW w:w="80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0"/>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40" w:type="dxa"/>
            <w:vAlign w:val="bottom"/>
          </w:tcPr>
          <w:p>
            <w:pPr>
              <w:spacing w:after="0"/>
              <w:rPr>
                <w:sz w:val="24"/>
                <w:szCs w:val="24"/>
                <w:color w:val="auto"/>
              </w:rPr>
            </w:pPr>
          </w:p>
        </w:tc>
        <w:tc>
          <w:tcPr>
            <w:tcW w:w="3080" w:type="dxa"/>
            <w:vAlign w:val="bottom"/>
            <w:tcBorders>
              <w:bottom w:val="single" w:sz="8" w:color="0000EE"/>
            </w:tcBorders>
            <w:gridSpan w:val="16"/>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Amended and Restated Asset Contribution</w:t>
              </w:r>
            </w:hyperlink>
          </w:p>
        </w:tc>
        <w:tc>
          <w:tcPr>
            <w:tcW w:w="300" w:type="dxa"/>
            <w:vAlign w:val="bottom"/>
            <w:gridSpan w:val="4"/>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Agreement, effective November 7, 2017, by</w:t>
              </w:r>
            </w:hyperlink>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0"/>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and between BioXcel Corporation and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BioXcel Therapeutics, Inc.</w:t>
              </w:r>
            </w:hyperlink>
          </w:p>
        </w:tc>
        <w:tc>
          <w:tcPr>
            <w:tcW w:w="840" w:type="dxa"/>
            <w:vAlign w:val="bottom"/>
            <w:tcBorders>
              <w:top w:val="single" w:sz="8" w:color="0000EE"/>
            </w:tcBorders>
            <w:gridSpan w:val="5"/>
          </w:tcPr>
          <w:p>
            <w:pPr>
              <w:spacing w:after="0"/>
              <w:rPr>
                <w:sz w:val="17"/>
                <w:szCs w:val="17"/>
                <w:color w:val="auto"/>
              </w:rPr>
            </w:pPr>
          </w:p>
        </w:tc>
        <w:tc>
          <w:tcPr>
            <w:tcW w:w="6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28"/>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Form</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28"/>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14"/>
                <w:szCs w:val="14"/>
                <w:color w:val="auto"/>
              </w:rPr>
            </w:pPr>
          </w:p>
        </w:tc>
        <w:tc>
          <w:tcPr>
            <w:tcW w:w="3220" w:type="dxa"/>
            <w:vAlign w:val="bottom"/>
            <w:tcBorders>
              <w:top w:val="single" w:sz="8" w:color="auto"/>
            </w:tcBorders>
            <w:gridSpan w:val="31"/>
          </w:tcPr>
          <w:p>
            <w:pPr>
              <w:spacing w:after="0" w:line="169" w:lineRule="exact"/>
              <w:rPr>
                <w:rFonts w:ascii="Arial" w:cs="Arial" w:eastAsia="Arial" w:hAnsi="Arial"/>
                <w:sz w:val="18"/>
                <w:szCs w:val="18"/>
                <w:color w:val="0000EE"/>
                <w:w w:val="96"/>
              </w:rPr>
            </w:pPr>
            <w:hyperlink r:id="rId131">
              <w:r>
                <w:rPr>
                  <w:rFonts w:ascii="Arial" w:cs="Arial" w:eastAsia="Arial" w:hAnsi="Arial"/>
                  <w:sz w:val="18"/>
                  <w:szCs w:val="18"/>
                  <w:color w:val="0000EE"/>
                  <w:w w:val="96"/>
                </w:rPr>
                <w:t>Lease Agreement, dated as of August 20,</w:t>
              </w:r>
            </w:hyperlink>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8/23/2018</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2018, by and between Fusco Harbour</w:t>
              </w:r>
            </w:hyperlink>
          </w:p>
        </w:tc>
        <w:tc>
          <w:tcPr>
            <w:tcW w:w="260" w:type="dxa"/>
            <w:vAlign w:val="bottom"/>
            <w:tcBorders>
              <w:top w:val="single" w:sz="8" w:color="0000EE"/>
            </w:tcBorders>
            <w:gridSpan w:val="4"/>
          </w:tcPr>
          <w:p>
            <w:pPr>
              <w:spacing w:after="0"/>
              <w:rPr>
                <w:sz w:val="17"/>
                <w:szCs w:val="17"/>
                <w:color w:val="auto"/>
              </w:rPr>
            </w:pPr>
          </w:p>
        </w:tc>
        <w:tc>
          <w:tcPr>
            <w:tcW w:w="42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Associates, LLC, as Landlord, and BioXcel</w:t>
              </w:r>
            </w:hyperlink>
          </w:p>
        </w:tc>
        <w:tc>
          <w:tcPr>
            <w:tcW w:w="2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Therapeutics, Inc., as Tenant</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3040" w:type="dxa"/>
            <w:vAlign w:val="bottom"/>
            <w:tcBorders>
              <w:bottom w:val="single" w:sz="8" w:color="0000EE"/>
            </w:tcBorders>
            <w:gridSpan w:val="25"/>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First Amendment, dated August 19, 2020,</w:t>
              </w:r>
            </w:hyperlink>
          </w:p>
        </w:tc>
        <w:tc>
          <w:tcPr>
            <w:tcW w:w="340" w:type="dxa"/>
            <w:vAlign w:val="bottom"/>
            <w:gridSpan w:val="7"/>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11/12/2020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to Lease Agreement, dated as of August 20,</w:t>
              </w:r>
            </w:hyperlink>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2018, by and between Fusco Harbour</w:t>
              </w:r>
            </w:hyperlink>
          </w:p>
        </w:tc>
        <w:tc>
          <w:tcPr>
            <w:tcW w:w="68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Associates, LLC, as Landlord, and BioXcel</w:t>
              </w:r>
            </w:hyperlink>
          </w:p>
        </w:tc>
        <w:tc>
          <w:tcPr>
            <w:tcW w:w="2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Therapeutics, Inc., as Tenant.</w:t>
              </w:r>
            </w:hyperlink>
          </w:p>
        </w:tc>
        <w:tc>
          <w:tcPr>
            <w:tcW w:w="1260" w:type="dxa"/>
            <w:vAlign w:val="bottom"/>
            <w:gridSpan w:val="2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10.6†</w:t>
            </w:r>
          </w:p>
        </w:tc>
        <w:tc>
          <w:tcPr>
            <w:tcW w:w="3380" w:type="dxa"/>
            <w:vAlign w:val="bottom"/>
            <w:gridSpan w:val="32"/>
          </w:tcPr>
          <w:p>
            <w:pPr>
              <w:spacing w:after="0"/>
              <w:rPr>
                <w:rFonts w:ascii="Arial" w:cs="Arial" w:eastAsia="Arial" w:hAnsi="Arial"/>
                <w:sz w:val="18"/>
                <w:szCs w:val="18"/>
                <w:color w:val="0000EE"/>
              </w:rPr>
            </w:pPr>
            <w:hyperlink r:id="rId133">
              <w:r>
                <w:rPr>
                  <w:rFonts w:ascii="Arial" w:cs="Arial" w:eastAsia="Arial" w:hAnsi="Arial"/>
                  <w:sz w:val="18"/>
                  <w:szCs w:val="18"/>
                  <w:color w:val="0000EE"/>
                </w:rPr>
                <w:t>2017 Equity Incentive Plan</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10.7†</w:t>
            </w:r>
          </w:p>
        </w:tc>
        <w:tc>
          <w:tcPr>
            <w:tcW w:w="3380" w:type="dxa"/>
            <w:vAlign w:val="bottom"/>
            <w:gridSpan w:val="32"/>
          </w:tcPr>
          <w:p>
            <w:pPr>
              <w:spacing w:after="0"/>
              <w:rPr>
                <w:rFonts w:ascii="Arial" w:cs="Arial" w:eastAsia="Arial" w:hAnsi="Arial"/>
                <w:sz w:val="18"/>
                <w:szCs w:val="18"/>
                <w:color w:val="0000EE"/>
                <w:w w:val="98"/>
              </w:rPr>
            </w:pPr>
            <w:hyperlink r:id="rId134">
              <w:r>
                <w:rPr>
                  <w:rFonts w:ascii="Arial" w:cs="Arial" w:eastAsia="Arial" w:hAnsi="Arial"/>
                  <w:sz w:val="18"/>
                  <w:szCs w:val="18"/>
                  <w:color w:val="0000EE"/>
                  <w:w w:val="98"/>
                </w:rPr>
                <w:t>Form of Incentive Stock Option Agreement</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under the 2017 Equity Incentive Plan</w:t>
              </w:r>
            </w:hyperlink>
          </w:p>
        </w:tc>
        <w:tc>
          <w:tcPr>
            <w:tcW w:w="2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10.8†</w:t>
            </w:r>
          </w:p>
        </w:tc>
        <w:tc>
          <w:tcPr>
            <w:tcW w:w="26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Form of Non-Statutory Stock option</w:t>
              </w:r>
            </w:hyperlink>
          </w:p>
        </w:tc>
        <w:tc>
          <w:tcPr>
            <w:tcW w:w="60" w:type="dxa"/>
            <w:vAlign w:val="bottom"/>
            <w:tcBorders>
              <w:top w:val="single" w:sz="8" w:color="0000EE"/>
            </w:tcBorders>
          </w:tcPr>
          <w:p>
            <w:pPr>
              <w:spacing w:after="0"/>
              <w:rPr>
                <w:sz w:val="24"/>
                <w:szCs w:val="24"/>
                <w:color w:val="auto"/>
              </w:rPr>
            </w:pPr>
          </w:p>
        </w:tc>
        <w:tc>
          <w:tcPr>
            <w:tcW w:w="700" w:type="dxa"/>
            <w:vAlign w:val="bottom"/>
            <w:gridSpan w:val="15"/>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Agreement under the 2017 Equity Incentive</w:t>
              </w:r>
            </w:hyperlink>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Plan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10.9†</w:t>
            </w:r>
          </w:p>
        </w:tc>
        <w:tc>
          <w:tcPr>
            <w:tcW w:w="3060" w:type="dxa"/>
            <w:vAlign w:val="bottom"/>
            <w:tcBorders>
              <w:bottom w:val="single" w:sz="8" w:color="0000EE"/>
            </w:tcBorders>
            <w:gridSpan w:val="26"/>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BioXcel Therapeutics, Inc. 2020 Incentive</w:t>
              </w:r>
            </w:hyperlink>
          </w:p>
        </w:tc>
        <w:tc>
          <w:tcPr>
            <w:tcW w:w="320" w:type="dxa"/>
            <w:vAlign w:val="bottom"/>
            <w:gridSpan w:val="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Award Plan and forms of award agreements</w:t>
              </w:r>
            </w:hyperlink>
          </w:p>
        </w:tc>
        <w:tc>
          <w:tcPr>
            <w:tcW w:w="2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36">
              <w:r>
                <w:rPr>
                  <w:rFonts w:ascii="Arial" w:cs="Arial" w:eastAsia="Arial" w:hAnsi="Arial"/>
                  <w:sz w:val="18"/>
                  <w:szCs w:val="18"/>
                  <w:color w:val="0000EE"/>
                  <w:w w:val="87"/>
                </w:rPr>
                <w:t>thereunder</w:t>
              </w:r>
            </w:hyperlink>
          </w:p>
        </w:tc>
        <w:tc>
          <w:tcPr>
            <w:tcW w:w="2600" w:type="dxa"/>
            <w:vAlign w:val="bottom"/>
            <w:gridSpan w:val="2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10.10†</w:t>
            </w:r>
          </w:p>
        </w:tc>
        <w:tc>
          <w:tcPr>
            <w:tcW w:w="3140" w:type="dxa"/>
            <w:vAlign w:val="bottom"/>
            <w:tcBorders>
              <w:bottom w:val="single" w:sz="8" w:color="0000EE"/>
            </w:tcBorders>
            <w:gridSpan w:val="28"/>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BioXcel Therapeutics, Inc. 2020 Employee</w:t>
              </w:r>
            </w:hyperlink>
          </w:p>
        </w:tc>
        <w:tc>
          <w:tcPr>
            <w:tcW w:w="240" w:type="dxa"/>
            <w:vAlign w:val="bottom"/>
            <w:gridSpan w:val="4"/>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37">
              <w:r>
                <w:rPr>
                  <w:rFonts w:ascii="Arial" w:cs="Arial" w:eastAsia="Arial" w:hAnsi="Arial"/>
                  <w:sz w:val="18"/>
                  <w:szCs w:val="18"/>
                  <w:color w:val="0000EE"/>
                  <w:w w:val="87"/>
                </w:rPr>
                <w:t>Stock Purchase Plan</w:t>
              </w:r>
            </w:hyperlink>
          </w:p>
        </w:tc>
        <w:tc>
          <w:tcPr>
            <w:tcW w:w="1900" w:type="dxa"/>
            <w:vAlign w:val="bottom"/>
            <w:gridSpan w:val="2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10.11†</w:t>
            </w:r>
          </w:p>
        </w:tc>
        <w:tc>
          <w:tcPr>
            <w:tcW w:w="3380" w:type="dxa"/>
            <w:vAlign w:val="bottom"/>
            <w:gridSpan w:val="32"/>
          </w:tcPr>
          <w:p>
            <w:pPr>
              <w:spacing w:after="0"/>
              <w:rPr>
                <w:rFonts w:ascii="Arial" w:cs="Arial" w:eastAsia="Arial" w:hAnsi="Arial"/>
                <w:sz w:val="18"/>
                <w:szCs w:val="18"/>
                <w:color w:val="0000EE"/>
              </w:rPr>
            </w:pPr>
            <w:hyperlink r:id="rId138">
              <w:r>
                <w:rPr>
                  <w:rFonts w:ascii="Arial" w:cs="Arial" w:eastAsia="Arial" w:hAnsi="Arial"/>
                  <w:sz w:val="18"/>
                  <w:szCs w:val="18"/>
                  <w:color w:val="0000EE"/>
                </w:rPr>
                <w:t>Form of Indemnification Agreement with</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directors and executive officers</w:t>
              </w:r>
            </w:hyperlink>
          </w:p>
        </w:tc>
        <w:tc>
          <w:tcPr>
            <w:tcW w:w="700" w:type="dxa"/>
            <w:vAlign w:val="bottom"/>
            <w:tcBorders>
              <w:top w:val="single" w:sz="8" w:color="0000EE"/>
            </w:tcBorders>
            <w:gridSpan w:val="11"/>
          </w:tcPr>
          <w:p>
            <w:pPr>
              <w:spacing w:after="0"/>
              <w:rPr>
                <w:sz w:val="17"/>
                <w:szCs w:val="17"/>
                <w:color w:val="auto"/>
              </w:rPr>
            </w:pPr>
          </w:p>
        </w:tc>
        <w:tc>
          <w:tcPr>
            <w:tcW w:w="40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10.12†</w:t>
            </w:r>
          </w:p>
        </w:tc>
        <w:tc>
          <w:tcPr>
            <w:tcW w:w="3380" w:type="dxa"/>
            <w:vAlign w:val="bottom"/>
            <w:gridSpan w:val="32"/>
          </w:tcPr>
          <w:p>
            <w:pPr>
              <w:spacing w:after="0"/>
              <w:rPr>
                <w:rFonts w:ascii="Arial" w:cs="Arial" w:eastAsia="Arial" w:hAnsi="Arial"/>
                <w:sz w:val="18"/>
                <w:szCs w:val="18"/>
                <w:color w:val="0000EE"/>
              </w:rPr>
            </w:pPr>
            <w:hyperlink r:id="rId139">
              <w:r>
                <w:rPr>
                  <w:rFonts w:ascii="Arial" w:cs="Arial" w:eastAsia="Arial" w:hAnsi="Arial"/>
                  <w:sz w:val="18"/>
                  <w:szCs w:val="18"/>
                  <w:color w:val="0000EE"/>
                </w:rPr>
                <w:t>Employment Agreement, dated March 7,</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2018 by and between BioXcel</w:t>
              </w:r>
            </w:hyperlink>
          </w:p>
        </w:tc>
        <w:tc>
          <w:tcPr>
            <w:tcW w:w="760" w:type="dxa"/>
            <w:vAlign w:val="bottom"/>
            <w:tcBorders>
              <w:top w:val="single" w:sz="8" w:color="0000EE"/>
            </w:tcBorders>
            <w:gridSpan w:val="12"/>
          </w:tcPr>
          <w:p>
            <w:pPr>
              <w:spacing w:after="0"/>
              <w:rPr>
                <w:sz w:val="17"/>
                <w:szCs w:val="17"/>
                <w:color w:val="auto"/>
              </w:rPr>
            </w:pPr>
          </w:p>
        </w:tc>
        <w:tc>
          <w:tcPr>
            <w:tcW w:w="44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Therapeutics, Inc. and Vimal Mehta</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10.13†</w:t>
            </w:r>
          </w:p>
        </w:tc>
        <w:tc>
          <w:tcPr>
            <w:tcW w:w="2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Employment Agreement, dated</w:t>
              </w:r>
            </w:hyperlink>
          </w:p>
        </w:tc>
        <w:tc>
          <w:tcPr>
            <w:tcW w:w="320" w:type="dxa"/>
            <w:vAlign w:val="bottom"/>
            <w:tcBorders>
              <w:top w:val="single" w:sz="8" w:color="0000EE"/>
            </w:tcBorders>
            <w:gridSpan w:val="4"/>
          </w:tcPr>
          <w:p>
            <w:pPr>
              <w:spacing w:after="0"/>
              <w:rPr>
                <w:sz w:val="24"/>
                <w:szCs w:val="24"/>
                <w:color w:val="auto"/>
              </w:rPr>
            </w:pPr>
          </w:p>
        </w:tc>
        <w:tc>
          <w:tcPr>
            <w:tcW w:w="800" w:type="dxa"/>
            <w:vAlign w:val="bottom"/>
            <w:gridSpan w:val="17"/>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February 12, 2018,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Therapeutics, Inc. and Frank Yocca</w:t>
              </w:r>
            </w:hyperlink>
          </w:p>
        </w:tc>
        <w:tc>
          <w:tcPr>
            <w:tcW w:w="620" w:type="dxa"/>
            <w:vAlign w:val="bottom"/>
            <w:tcBorders>
              <w:top w:val="single" w:sz="8" w:color="0000EE"/>
            </w:tcBorders>
            <w:gridSpan w:val="16"/>
          </w:tcPr>
          <w:p>
            <w:pPr>
              <w:spacing w:after="0"/>
              <w:rPr>
                <w:sz w:val="17"/>
                <w:szCs w:val="17"/>
                <w:color w:val="auto"/>
              </w:rPr>
            </w:pPr>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10.14†</w:t>
            </w:r>
          </w:p>
        </w:tc>
        <w:tc>
          <w:tcPr>
            <w:tcW w:w="2500" w:type="dxa"/>
            <w:vAlign w:val="bottom"/>
            <w:tcBorders>
              <w:bottom w:val="single" w:sz="8" w:color="0000EE"/>
            </w:tcBorders>
            <w:gridSpan w:val="13"/>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Employment Agreement, effective</w:t>
              </w:r>
            </w:hyperlink>
          </w:p>
        </w:tc>
        <w:tc>
          <w:tcPr>
            <w:tcW w:w="880" w:type="dxa"/>
            <w:vAlign w:val="bottom"/>
            <w:gridSpan w:val="19"/>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October 2, 2017,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tcBorders>
            <w:gridSpan w:val="24"/>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Therapeutics, Inc. and Richard Steinhart</w:t>
              </w:r>
            </w:hyperlink>
          </w:p>
        </w:tc>
        <w:tc>
          <w:tcPr>
            <w:tcW w:w="36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10.15†</w:t>
            </w:r>
          </w:p>
        </w:tc>
        <w:tc>
          <w:tcPr>
            <w:tcW w:w="2900" w:type="dxa"/>
            <w:vAlign w:val="bottom"/>
            <w:tcBorders>
              <w:top w:val="single" w:sz="8" w:color="0000EE"/>
            </w:tcBorders>
            <w:gridSpan w:val="20"/>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Employment Agreement, dated June 1,</w:t>
              </w:r>
            </w:hyperlink>
          </w:p>
        </w:tc>
        <w:tc>
          <w:tcPr>
            <w:tcW w:w="480" w:type="dxa"/>
            <w:vAlign w:val="bottom"/>
            <w:gridSpan w:val="12"/>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6/07/2018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2018, by and between BioXcel</w:t>
              </w:r>
            </w:hyperlink>
          </w:p>
        </w:tc>
        <w:tc>
          <w:tcPr>
            <w:tcW w:w="58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820" w:type="dxa"/>
            <w:vAlign w:val="bottom"/>
            <w:gridSpan w:val="1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Therapeutics, Inc. and Dr. Vincent O’Neill,</w:t>
              </w:r>
            </w:hyperlink>
          </w:p>
        </w:tc>
        <w:tc>
          <w:tcPr>
            <w:tcW w:w="26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M.D.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980" w:type="dxa"/>
            <w:vAlign w:val="bottom"/>
            <w:gridSpan w:val="2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10.16†</w:t>
            </w:r>
          </w:p>
        </w:tc>
        <w:tc>
          <w:tcPr>
            <w:tcW w:w="3380" w:type="dxa"/>
            <w:vAlign w:val="bottom"/>
            <w:gridSpan w:val="32"/>
          </w:tcPr>
          <w:p>
            <w:pPr>
              <w:spacing w:after="0"/>
              <w:rPr>
                <w:rFonts w:ascii="Arial" w:cs="Arial" w:eastAsia="Arial" w:hAnsi="Arial"/>
                <w:sz w:val="18"/>
                <w:szCs w:val="18"/>
                <w:color w:val="0000EE"/>
              </w:rPr>
            </w:pPr>
            <w:hyperlink r:id="rId143">
              <w:r>
                <w:rPr>
                  <w:rFonts w:ascii="Arial" w:cs="Arial" w:eastAsia="Arial" w:hAnsi="Arial"/>
                  <w:sz w:val="18"/>
                  <w:szCs w:val="18"/>
                  <w:color w:val="0000EE"/>
                </w:rPr>
                <w:t>Employment Agreement between William</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980" w:type="dxa"/>
            <w:vAlign w:val="bottom"/>
            <w:gridSpan w:val="21"/>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w w:val="97"/>
              </w:rPr>
            </w:pPr>
            <w:hyperlink r:id="rId143">
              <w:r>
                <w:rPr>
                  <w:rFonts w:ascii="Arial" w:cs="Arial" w:eastAsia="Arial" w:hAnsi="Arial"/>
                  <w:sz w:val="18"/>
                  <w:szCs w:val="18"/>
                  <w:color w:val="0000EE"/>
                  <w:w w:val="97"/>
                </w:rPr>
                <w:t>Kane and BioXcel Therapeutics, Inc.,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May 15, 2020.</w:t>
              </w:r>
            </w:hyperlink>
          </w:p>
        </w:tc>
        <w:tc>
          <w:tcPr>
            <w:tcW w:w="2080" w:type="dxa"/>
            <w:vAlign w:val="bottom"/>
            <w:tcBorders>
              <w:top w:val="single" w:sz="8" w:color="0000EE"/>
            </w:tcBorders>
            <w:gridSpan w:val="24"/>
          </w:tcPr>
          <w:p>
            <w:pPr>
              <w:spacing w:after="0"/>
              <w:rPr>
                <w:sz w:val="17"/>
                <w:szCs w:val="17"/>
                <w:color w:val="auto"/>
              </w:rPr>
            </w:pPr>
          </w:p>
        </w:tc>
        <w:tc>
          <w:tcPr>
            <w:tcW w:w="2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gridSpan w:val="13"/>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Filing Date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3360" w:type="dxa"/>
            <w:vAlign w:val="bottom"/>
            <w:gridSpan w:val="1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0" w:type="dxa"/>
            <w:vAlign w:val="bottom"/>
            <w:tcBorders>
              <w:top w:val="single" w:sz="8" w:color="auto"/>
            </w:tcBorders>
            <w:gridSpan w:val="12"/>
          </w:tcPr>
          <w:p>
            <w:pPr>
              <w:spacing w:after="0" w:line="169"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Employment Agreement between Reina</w:t>
              </w:r>
            </w:hyperlink>
          </w:p>
        </w:tc>
        <w:tc>
          <w:tcPr>
            <w:tcW w:w="160" w:type="dxa"/>
            <w:vAlign w:val="bottom"/>
          </w:tcPr>
          <w:p>
            <w:pPr>
              <w:spacing w:after="0"/>
              <w:rPr>
                <w:sz w:val="14"/>
                <w:szCs w:val="14"/>
                <w:color w:val="auto"/>
              </w:rPr>
            </w:pPr>
          </w:p>
        </w:tc>
        <w:tc>
          <w:tcPr>
            <w:tcW w:w="52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8"/>
                <w:szCs w:val="18"/>
                <w:color w:val="auto"/>
              </w:rPr>
              <w:t>10-Q</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8/14/2020</w:t>
            </w:r>
          </w:p>
        </w:tc>
        <w:tc>
          <w:tcPr>
            <w:tcW w:w="1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Benabou and BioXcel Therapeutics, Inc.,</w:t>
              </w:r>
            </w:hyperlink>
          </w:p>
        </w:tc>
        <w:tc>
          <w:tcPr>
            <w:tcW w:w="4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3"/>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dated June 21, 2020.</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40" w:type="dxa"/>
            <w:vAlign w:val="bottom"/>
            <w:gridSpan w:val="16"/>
          </w:tcPr>
          <w:p>
            <w:pPr>
              <w:ind w:left="120"/>
              <w:spacing w:after="0"/>
              <w:rPr>
                <w:rFonts w:ascii="Arial" w:cs="Arial" w:eastAsia="Arial" w:hAnsi="Arial"/>
                <w:sz w:val="18"/>
                <w:szCs w:val="18"/>
                <w:color w:val="auto"/>
                <w:w w:val="96"/>
              </w:rPr>
            </w:pPr>
            <w:r>
              <w:rPr>
                <w:rFonts w:ascii="Arial" w:cs="Arial" w:eastAsia="Arial" w:hAnsi="Arial"/>
                <w:sz w:val="18"/>
                <w:szCs w:val="18"/>
                <w:color w:val="auto"/>
                <w:w w:val="96"/>
              </w:rPr>
              <w:t xml:space="preserve">10.18†   </w:t>
            </w:r>
            <w:hyperlink r:id="rId146">
              <w:r>
                <w:rPr>
                  <w:rFonts w:ascii="Arial" w:cs="Arial" w:eastAsia="Arial" w:hAnsi="Arial"/>
                  <w:sz w:val="18"/>
                  <w:szCs w:val="18"/>
                  <w:color w:val="0000EE"/>
                  <w:w w:val="96"/>
                </w:rPr>
                <w:t>Separation Agreement and General Release</w:t>
              </w:r>
            </w:hyperlink>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8/10/2021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between Reina Benabou and BioXcel</w:t>
              </w:r>
            </w:hyperlink>
          </w:p>
        </w:tc>
        <w:tc>
          <w:tcPr>
            <w:tcW w:w="440" w:type="dxa"/>
            <w:vAlign w:val="bottom"/>
            <w:tcBorders>
              <w:top w:val="single" w:sz="8" w:color="0000EE"/>
            </w:tcBorders>
            <w:gridSpan w:val="6"/>
          </w:tcPr>
          <w:p>
            <w:pPr>
              <w:spacing w:after="0"/>
              <w:rPr>
                <w:sz w:val="17"/>
                <w:szCs w:val="17"/>
                <w:color w:val="auto"/>
              </w:rPr>
            </w:pPr>
          </w:p>
        </w:tc>
        <w:tc>
          <w:tcPr>
            <w:tcW w:w="2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Therapeutics, Inc., dated July 28, 2021.</w:t>
              </w:r>
            </w:hyperlink>
          </w:p>
        </w:tc>
        <w:tc>
          <w:tcPr>
            <w:tcW w:w="50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40" w:type="dxa"/>
            <w:vAlign w:val="bottom"/>
            <w:gridSpan w:val="16"/>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10.19†   </w:t>
            </w:r>
            <w:hyperlink r:id="rId147">
              <w:r>
                <w:rPr>
                  <w:rFonts w:ascii="Arial" w:cs="Arial" w:eastAsia="Arial" w:hAnsi="Arial"/>
                  <w:sz w:val="18"/>
                  <w:szCs w:val="18"/>
                  <w:color w:val="0000EE"/>
                </w:rPr>
                <w:t>Employment Agreement between Javier</w:t>
              </w:r>
            </w:hyperlink>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10-K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3/12/2021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3"/>
          </w:tcPr>
          <w:p>
            <w:pPr>
              <w:spacing w:after="0" w:line="196" w:lineRule="exact"/>
              <w:rPr>
                <w:rFonts w:ascii="Arial" w:cs="Arial" w:eastAsia="Arial" w:hAnsi="Arial"/>
                <w:sz w:val="18"/>
                <w:szCs w:val="18"/>
                <w:color w:val="0000EE"/>
                <w:w w:val="99"/>
              </w:rPr>
            </w:pPr>
            <w:hyperlink r:id="rId147">
              <w:r>
                <w:rPr>
                  <w:rFonts w:ascii="Arial" w:cs="Arial" w:eastAsia="Arial" w:hAnsi="Arial"/>
                  <w:sz w:val="18"/>
                  <w:szCs w:val="18"/>
                  <w:color w:val="0000EE"/>
                  <w:w w:val="99"/>
                </w:rPr>
                <w:t>Rodriguez and BioXcel 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dated February 15, 2021.</w:t>
              </w:r>
            </w:hyperlink>
          </w:p>
        </w:tc>
        <w:tc>
          <w:tcPr>
            <w:tcW w:w="30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40" w:type="dxa"/>
            <w:vAlign w:val="bottom"/>
            <w:gridSpan w:val="16"/>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10.20†   </w:t>
            </w:r>
            <w:hyperlink w:anchor="page130">
              <w:r>
                <w:rPr>
                  <w:rFonts w:ascii="Arial" w:cs="Arial" w:eastAsia="Arial" w:hAnsi="Arial"/>
                  <w:sz w:val="18"/>
                  <w:szCs w:val="18"/>
                  <w:color w:val="0000EE"/>
                </w:rPr>
                <w:t>Employment Agreement between Matthew</w:t>
              </w:r>
            </w:hyperlink>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20" w:type="dxa"/>
            <w:vAlign w:val="bottom"/>
            <w:gridSpan w:val="8"/>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3"/>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Wiley and BioXcel Therapeutics, Inc.,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January 12, 2022.</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00" w:type="dxa"/>
            <w:vAlign w:val="bottom"/>
          </w:tcPr>
          <w:p>
            <w:pPr>
              <w:jc w:val="center"/>
              <w:ind w:right="110"/>
              <w:spacing w:after="0"/>
              <w:rPr>
                <w:sz w:val="20"/>
                <w:szCs w:val="20"/>
                <w:color w:val="auto"/>
              </w:rPr>
            </w:pPr>
            <w:r>
              <w:rPr>
                <w:rFonts w:ascii="Arial" w:cs="Arial" w:eastAsia="Arial" w:hAnsi="Arial"/>
                <w:sz w:val="18"/>
                <w:szCs w:val="18"/>
                <w:color w:val="auto"/>
                <w:w w:val="87"/>
              </w:rPr>
              <w:t>10.21†</w:t>
            </w:r>
          </w:p>
        </w:tc>
        <w:tc>
          <w:tcPr>
            <w:tcW w:w="3320" w:type="dxa"/>
            <w:vAlign w:val="bottom"/>
            <w:gridSpan w:val="15"/>
          </w:tcPr>
          <w:p>
            <w:pPr>
              <w:spacing w:after="0"/>
              <w:rPr>
                <w:rFonts w:ascii="Arial" w:cs="Arial" w:eastAsia="Arial" w:hAnsi="Arial"/>
                <w:sz w:val="18"/>
                <w:szCs w:val="18"/>
                <w:color w:val="0000EE"/>
              </w:rPr>
            </w:pPr>
            <w:hyperlink r:id="rId148">
              <w:r>
                <w:rPr>
                  <w:rFonts w:ascii="Arial" w:cs="Arial" w:eastAsia="Arial" w:hAnsi="Arial"/>
                  <w:sz w:val="18"/>
                  <w:szCs w:val="18"/>
                  <w:color w:val="0000EE"/>
                </w:rPr>
                <w:t>Non-Employee Director Compensation</w:t>
              </w:r>
            </w:hyperlink>
          </w:p>
        </w:tc>
        <w:tc>
          <w:tcPr>
            <w:tcW w:w="680" w:type="dxa"/>
            <w:vAlign w:val="bottom"/>
          </w:tcPr>
          <w:p>
            <w:pPr>
              <w:ind w:left="140"/>
              <w:spacing w:after="0"/>
              <w:rPr>
                <w:sz w:val="20"/>
                <w:szCs w:val="20"/>
                <w:color w:val="auto"/>
              </w:rPr>
            </w:pPr>
            <w:r>
              <w:rPr>
                <w:rFonts w:ascii="Arial" w:cs="Arial" w:eastAsia="Arial" w:hAnsi="Arial"/>
                <w:sz w:val="18"/>
                <w:szCs w:val="18"/>
                <w:color w:val="auto"/>
              </w:rPr>
              <w:t>10-Q</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001-</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5/12/2020</w:t>
            </w:r>
          </w:p>
        </w:tc>
      </w:tr>
      <w:tr>
        <w:trPr>
          <w:trHeight w:val="196"/>
        </w:trPr>
        <w:tc>
          <w:tcPr>
            <w:tcW w:w="800" w:type="dxa"/>
            <w:vAlign w:val="bottom"/>
          </w:tcPr>
          <w:p>
            <w:pPr>
              <w:spacing w:after="0"/>
              <w:rPr>
                <w:sz w:val="17"/>
                <w:szCs w:val="17"/>
                <w:color w:val="auto"/>
              </w:rPr>
            </w:pPr>
          </w:p>
        </w:tc>
        <w:tc>
          <w:tcPr>
            <w:tcW w:w="2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Program</w:t>
              </w:r>
            </w:hyperlink>
          </w:p>
        </w:tc>
        <w:tc>
          <w:tcPr>
            <w:tcW w:w="5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38410</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800" w:type="dxa"/>
            <w:vAlign w:val="bottom"/>
          </w:tcPr>
          <w:p>
            <w:pPr>
              <w:jc w:val="center"/>
              <w:ind w:right="110"/>
              <w:spacing w:after="0"/>
              <w:rPr>
                <w:sz w:val="20"/>
                <w:szCs w:val="20"/>
                <w:color w:val="auto"/>
              </w:rPr>
            </w:pPr>
            <w:r>
              <w:rPr>
                <w:rFonts w:ascii="Arial" w:cs="Arial" w:eastAsia="Arial" w:hAnsi="Arial"/>
                <w:sz w:val="18"/>
                <w:szCs w:val="18"/>
                <w:color w:val="auto"/>
                <w:w w:val="91"/>
              </w:rPr>
              <w:t>21.1</w:t>
            </w:r>
          </w:p>
        </w:tc>
        <w:tc>
          <w:tcPr>
            <w:tcW w:w="30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Subsidiaries of BioXcel Therapeutics, Inc.</w:t>
              </w:r>
            </w:hyperlink>
          </w:p>
        </w:tc>
        <w:tc>
          <w:tcPr>
            <w:tcW w:w="26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800" w:type="dxa"/>
            <w:vAlign w:val="bottom"/>
          </w:tcPr>
          <w:p>
            <w:pPr>
              <w:jc w:val="center"/>
              <w:ind w:right="110"/>
              <w:spacing w:after="0"/>
              <w:rPr>
                <w:sz w:val="20"/>
                <w:szCs w:val="20"/>
                <w:color w:val="auto"/>
              </w:rPr>
            </w:pPr>
            <w:r>
              <w:rPr>
                <w:rFonts w:ascii="Arial" w:cs="Arial" w:eastAsia="Arial" w:hAnsi="Arial"/>
                <w:sz w:val="18"/>
                <w:szCs w:val="18"/>
                <w:color w:val="auto"/>
                <w:w w:val="91"/>
              </w:rPr>
              <w:t>23.1</w:t>
            </w:r>
          </w:p>
        </w:tc>
        <w:tc>
          <w:tcPr>
            <w:tcW w:w="22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43">
              <w:r>
                <w:rPr>
                  <w:rFonts w:ascii="Arial" w:cs="Arial" w:eastAsia="Arial" w:hAnsi="Arial"/>
                  <w:sz w:val="18"/>
                  <w:szCs w:val="18"/>
                  <w:color w:val="0000EE"/>
                  <w:w w:val="92"/>
                </w:rPr>
                <w:t>Consent of Ernst &amp; Young LLP</w:t>
              </w:r>
            </w:hyperlink>
          </w:p>
        </w:tc>
        <w:tc>
          <w:tcPr>
            <w:tcW w:w="104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800" w:type="dxa"/>
            <w:vAlign w:val="bottom"/>
          </w:tcPr>
          <w:p>
            <w:pPr>
              <w:jc w:val="center"/>
              <w:ind w:right="110"/>
              <w:spacing w:after="0"/>
              <w:rPr>
                <w:sz w:val="20"/>
                <w:szCs w:val="20"/>
                <w:color w:val="auto"/>
              </w:rPr>
            </w:pPr>
            <w:r>
              <w:rPr>
                <w:rFonts w:ascii="Arial" w:cs="Arial" w:eastAsia="Arial" w:hAnsi="Arial"/>
                <w:sz w:val="18"/>
                <w:szCs w:val="18"/>
                <w:color w:val="auto"/>
                <w:w w:val="91"/>
              </w:rPr>
              <w:t>23.2</w:t>
            </w:r>
          </w:p>
        </w:tc>
        <w:tc>
          <w:tcPr>
            <w:tcW w:w="316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Consent of BDO USA, LLP; Stamford, CT;</w:t>
              </w:r>
            </w:hyperlink>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320" w:type="dxa"/>
            <w:vAlign w:val="bottom"/>
            <w:gridSpan w:val="15"/>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(PCAOB ID #243)</w:t>
              </w:r>
            </w:hyperlink>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800" w:type="dxa"/>
            <w:vAlign w:val="bottom"/>
          </w:tcPr>
          <w:p>
            <w:pPr>
              <w:jc w:val="center"/>
              <w:ind w:right="110"/>
              <w:spacing w:after="0"/>
              <w:rPr>
                <w:sz w:val="20"/>
                <w:szCs w:val="20"/>
                <w:color w:val="auto"/>
              </w:rPr>
            </w:pPr>
            <w:r>
              <w:rPr>
                <w:rFonts w:ascii="Arial" w:cs="Arial" w:eastAsia="Arial" w:hAnsi="Arial"/>
                <w:sz w:val="18"/>
                <w:szCs w:val="18"/>
                <w:color w:val="auto"/>
                <w:w w:val="91"/>
              </w:rPr>
              <w:t>31.1</w:t>
            </w:r>
          </w:p>
        </w:tc>
        <w:tc>
          <w:tcPr>
            <w:tcW w:w="3320" w:type="dxa"/>
            <w:vAlign w:val="bottom"/>
            <w:gridSpan w:val="15"/>
          </w:tcPr>
          <w:p>
            <w:pPr>
              <w:spacing w:after="0"/>
              <w:rPr>
                <w:rFonts w:ascii="Arial" w:cs="Arial" w:eastAsia="Arial" w:hAnsi="Arial"/>
                <w:sz w:val="18"/>
                <w:szCs w:val="18"/>
                <w:color w:val="0000EE"/>
                <w:w w:val="99"/>
              </w:rPr>
            </w:pPr>
            <w:hyperlink w:anchor="page145">
              <w:r>
                <w:rPr>
                  <w:rFonts w:ascii="Arial" w:cs="Arial" w:eastAsia="Arial" w:hAnsi="Arial"/>
                  <w:sz w:val="18"/>
                  <w:szCs w:val="18"/>
                  <w:color w:val="0000EE"/>
                  <w:w w:val="99"/>
                </w:rPr>
                <w:t>Certification of Principal Executive Officer</w:t>
              </w:r>
            </w:hyperlink>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Pursuant to Rules 13a-14(a) and 15d-14(a)</w:t>
              </w:r>
            </w:hyperlink>
          </w:p>
        </w:tc>
        <w:tc>
          <w:tcPr>
            <w:tcW w:w="4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under the Securities Exchange Act of 1934,</w:t>
              </w:r>
            </w:hyperlink>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as Adopted Pursuant to Section 302 of the</w:t>
              </w:r>
            </w:hyperlink>
          </w:p>
        </w:tc>
        <w:tc>
          <w:tcPr>
            <w:tcW w:w="2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Sarbanes-Oxley Act of 2002.</w:t>
              </w:r>
            </w:hyperlink>
          </w:p>
        </w:tc>
        <w:tc>
          <w:tcPr>
            <w:tcW w:w="12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80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31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46">
              <w:r>
                <w:rPr>
                  <w:rFonts w:ascii="Arial" w:cs="Arial" w:eastAsia="Arial" w:hAnsi="Arial"/>
                  <w:sz w:val="18"/>
                  <w:szCs w:val="18"/>
                  <w:color w:val="0000EE"/>
                  <w:w w:val="95"/>
                </w:rPr>
                <w:t>Certification of Principal Financial Officer</w:t>
              </w:r>
            </w:hyperlink>
          </w:p>
        </w:tc>
        <w:tc>
          <w:tcPr>
            <w:tcW w:w="22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0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Pursuant to Rules 13a-14(a) and 15d-14(a)</w:t>
              </w:r>
            </w:hyperlink>
          </w:p>
        </w:tc>
        <w:tc>
          <w:tcPr>
            <w:tcW w:w="24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under the Securities Exchange Act of 1934,</w:t>
              </w:r>
            </w:hyperlink>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as Adopted Pursuant to Section 302 of the</w:t>
              </w:r>
            </w:hyperlink>
          </w:p>
        </w:tc>
        <w:tc>
          <w:tcPr>
            <w:tcW w:w="2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Sarbanes-Oxley Act of 2002.</w:t>
              </w:r>
            </w:hyperlink>
          </w:p>
        </w:tc>
        <w:tc>
          <w:tcPr>
            <w:tcW w:w="12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800" w:type="dxa"/>
            <w:vAlign w:val="bottom"/>
          </w:tcPr>
          <w:p>
            <w:pPr>
              <w:jc w:val="center"/>
              <w:ind w:right="110"/>
              <w:spacing w:after="0"/>
              <w:rPr>
                <w:sz w:val="20"/>
                <w:szCs w:val="20"/>
                <w:color w:val="auto"/>
              </w:rPr>
            </w:pPr>
            <w:r>
              <w:rPr>
                <w:rFonts w:ascii="Arial" w:cs="Arial" w:eastAsia="Arial" w:hAnsi="Arial"/>
                <w:sz w:val="18"/>
                <w:szCs w:val="18"/>
                <w:color w:val="auto"/>
                <w:w w:val="91"/>
              </w:rPr>
              <w:t>32.1</w:t>
            </w:r>
          </w:p>
        </w:tc>
        <w:tc>
          <w:tcPr>
            <w:tcW w:w="3320" w:type="dxa"/>
            <w:vAlign w:val="bottom"/>
            <w:gridSpan w:val="15"/>
          </w:tcPr>
          <w:p>
            <w:pPr>
              <w:spacing w:after="0"/>
              <w:rPr>
                <w:rFonts w:ascii="Arial" w:cs="Arial" w:eastAsia="Arial" w:hAnsi="Arial"/>
                <w:sz w:val="18"/>
                <w:szCs w:val="18"/>
                <w:color w:val="0000EE"/>
                <w:w w:val="99"/>
              </w:rPr>
            </w:pPr>
            <w:hyperlink w:anchor="page147">
              <w:r>
                <w:rPr>
                  <w:rFonts w:ascii="Arial" w:cs="Arial" w:eastAsia="Arial" w:hAnsi="Arial"/>
                  <w:sz w:val="18"/>
                  <w:szCs w:val="18"/>
                  <w:color w:val="0000EE"/>
                  <w:w w:val="99"/>
                </w:rPr>
                <w:t>Certification of Principal Executive Officer</w:t>
              </w:r>
            </w:hyperlink>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Pursuant to 18 U.S.C. Section 1350, as</w:t>
              </w:r>
            </w:hyperlink>
          </w:p>
        </w:tc>
        <w:tc>
          <w:tcPr>
            <w:tcW w:w="320" w:type="dxa"/>
            <w:vAlign w:val="bottom"/>
            <w:tcBorders>
              <w:top w:val="single" w:sz="8" w:color="0000EE"/>
            </w:tcBorders>
            <w:gridSpan w:val="7"/>
          </w:tcPr>
          <w:p>
            <w:pPr>
              <w:spacing w:after="0"/>
              <w:rPr>
                <w:sz w:val="17"/>
                <w:szCs w:val="17"/>
                <w:color w:val="auto"/>
              </w:rPr>
            </w:pPr>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Adopted Pursuant to Section 906 of the</w:t>
              </w:r>
            </w:hyperlink>
          </w:p>
        </w:tc>
        <w:tc>
          <w:tcPr>
            <w:tcW w:w="4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Sarbanes-Oxley Act of 2002.</w:t>
              </w:r>
            </w:hyperlink>
          </w:p>
        </w:tc>
        <w:tc>
          <w:tcPr>
            <w:tcW w:w="12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800" w:type="dxa"/>
            <w:vAlign w:val="bottom"/>
          </w:tcPr>
          <w:p>
            <w:pPr>
              <w:jc w:val="center"/>
              <w:ind w:right="110"/>
              <w:spacing w:after="0"/>
              <w:rPr>
                <w:sz w:val="20"/>
                <w:szCs w:val="20"/>
                <w:color w:val="auto"/>
              </w:rPr>
            </w:pPr>
            <w:r>
              <w:rPr>
                <w:rFonts w:ascii="Arial" w:cs="Arial" w:eastAsia="Arial" w:hAnsi="Arial"/>
                <w:sz w:val="18"/>
                <w:szCs w:val="18"/>
                <w:color w:val="auto"/>
                <w:w w:val="91"/>
              </w:rPr>
              <w:t>32.2</w:t>
            </w:r>
          </w:p>
        </w:tc>
        <w:tc>
          <w:tcPr>
            <w:tcW w:w="31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48">
              <w:r>
                <w:rPr>
                  <w:rFonts w:ascii="Arial" w:cs="Arial" w:eastAsia="Arial" w:hAnsi="Arial"/>
                  <w:sz w:val="18"/>
                  <w:szCs w:val="18"/>
                  <w:color w:val="0000EE"/>
                  <w:w w:val="95"/>
                </w:rPr>
                <w:t>Certification of Principal Financial Officer</w:t>
              </w:r>
            </w:hyperlink>
          </w:p>
        </w:tc>
        <w:tc>
          <w:tcPr>
            <w:tcW w:w="22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8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Pursuant to 18 U.S.C. Section 1350, as</w:t>
              </w:r>
            </w:hyperlink>
          </w:p>
        </w:tc>
        <w:tc>
          <w:tcPr>
            <w:tcW w:w="5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8">
              <w:r>
                <w:rPr>
                  <w:rFonts w:ascii="Arial" w:cs="Arial" w:eastAsia="Arial" w:hAnsi="Arial"/>
                  <w:sz w:val="18"/>
                  <w:szCs w:val="18"/>
                  <w:color w:val="0000EE"/>
                  <w:w w:val="89"/>
                </w:rPr>
                <w:t>Adopted Pursuant to Section 906 of the</w:t>
              </w:r>
            </w:hyperlink>
          </w:p>
        </w:tc>
        <w:tc>
          <w:tcPr>
            <w:tcW w:w="4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Sarbanes-Oxley Act of 2002.</w:t>
              </w:r>
            </w:hyperlink>
          </w:p>
        </w:tc>
        <w:tc>
          <w:tcPr>
            <w:tcW w:w="12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38"/>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3320" w:type="dxa"/>
            <w:vAlign w:val="bottom"/>
            <w:gridSpan w:val="15"/>
          </w:tcPr>
          <w:p>
            <w:pPr>
              <w:spacing w:after="0"/>
              <w:rPr>
                <w:sz w:val="20"/>
                <w:szCs w:val="20"/>
                <w:color w:val="auto"/>
              </w:rPr>
            </w:pPr>
            <w:r>
              <w:rPr>
                <w:rFonts w:ascii="Arial" w:cs="Arial" w:eastAsia="Arial" w:hAnsi="Arial"/>
                <w:sz w:val="18"/>
                <w:szCs w:val="18"/>
                <w:color w:val="auto"/>
              </w:rPr>
              <w:t>Inline eXtensible Business Reporting</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320" w:type="dxa"/>
            <w:vAlign w:val="bottom"/>
            <w:gridSpan w:val="15"/>
          </w:tcPr>
          <w:p>
            <w:pPr>
              <w:spacing w:after="0"/>
              <w:rPr>
                <w:sz w:val="20"/>
                <w:szCs w:val="20"/>
                <w:color w:val="auto"/>
              </w:rPr>
            </w:pPr>
            <w:r>
              <w:rPr>
                <w:rFonts w:ascii="Arial" w:cs="Arial" w:eastAsia="Arial" w:hAnsi="Arial"/>
                <w:sz w:val="18"/>
                <w:szCs w:val="18"/>
                <w:color w:val="auto"/>
                <w:w w:val="94"/>
              </w:rPr>
              <w:t>Language (XBRL) Instance Document – the</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20" w:type="dxa"/>
            <w:vAlign w:val="bottom"/>
            <w:gridSpan w:val="15"/>
          </w:tcPr>
          <w:p>
            <w:pPr>
              <w:spacing w:after="0"/>
              <w:rPr>
                <w:sz w:val="20"/>
                <w:szCs w:val="20"/>
                <w:color w:val="auto"/>
              </w:rPr>
            </w:pPr>
            <w:r>
              <w:rPr>
                <w:rFonts w:ascii="Arial" w:cs="Arial" w:eastAsia="Arial" w:hAnsi="Arial"/>
                <w:sz w:val="18"/>
                <w:szCs w:val="18"/>
                <w:color w:val="auto"/>
                <w:w w:val="98"/>
              </w:rPr>
              <w:t>instance document does not appear in the</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320" w:type="dxa"/>
            <w:vAlign w:val="bottom"/>
            <w:gridSpan w:val="15"/>
          </w:tcPr>
          <w:p>
            <w:pPr>
              <w:spacing w:after="0"/>
              <w:rPr>
                <w:sz w:val="20"/>
                <w:szCs w:val="20"/>
                <w:color w:val="auto"/>
              </w:rPr>
            </w:pPr>
            <w:r>
              <w:rPr>
                <w:rFonts w:ascii="Arial" w:cs="Arial" w:eastAsia="Arial" w:hAnsi="Arial"/>
                <w:sz w:val="18"/>
                <w:szCs w:val="18"/>
                <w:color w:val="auto"/>
              </w:rPr>
              <w:t>Interactive Data File because its XBRL</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875" w:lineRule="exact"/>
        <w:rPr>
          <w:sz w:val="20"/>
          <w:szCs w:val="20"/>
          <w:color w:val="auto"/>
        </w:rPr>
      </w:pPr>
    </w:p>
    <w:p>
      <w:pPr>
        <w:sectPr>
          <w:pgSz w:w="11900" w:h="16838" w:orient="portrait"/>
          <w:cols w:equalWidth="0" w:num="2">
            <w:col w:w="7380" w:space="680"/>
            <w:col w:w="959"/>
          </w:cols>
          <w:pgMar w:left="1440" w:top="517" w:right="1440"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338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33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tags are embedded within the Inline XBRL</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document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3220" w:type="dxa"/>
            <w:vAlign w:val="bottom"/>
          </w:tcPr>
          <w:p>
            <w:pPr>
              <w:ind w:left="80"/>
              <w:spacing w:after="0"/>
              <w:rPr>
                <w:sz w:val="20"/>
                <w:szCs w:val="20"/>
                <w:color w:val="auto"/>
              </w:rPr>
            </w:pPr>
            <w:r>
              <w:rPr>
                <w:rFonts w:ascii="Arial" w:cs="Arial" w:eastAsia="Arial" w:hAnsi="Arial"/>
                <w:sz w:val="18"/>
                <w:szCs w:val="18"/>
                <w:color w:val="auto"/>
                <w:w w:val="91"/>
              </w:rPr>
              <w:t>Inline XBRL Taxonomy Extension Schema</w:t>
            </w:r>
          </w:p>
        </w:tc>
      </w:tr>
      <w:tr>
        <w:trPr>
          <w:trHeight w:val="230"/>
        </w:trPr>
        <w:tc>
          <w:tcPr>
            <w:tcW w:w="76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Document</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3220" w:type="dxa"/>
            <w:vAlign w:val="bottom"/>
          </w:tcPr>
          <w:p>
            <w:pPr>
              <w:ind w:left="80"/>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76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Calculation Linkbase Document</w:t>
            </w:r>
          </w:p>
        </w:tc>
      </w:tr>
      <w:tr>
        <w:trPr>
          <w:trHeight w:val="418"/>
        </w:trPr>
        <w:tc>
          <w:tcPr>
            <w:tcW w:w="760" w:type="dxa"/>
            <w:vAlign w:val="bottom"/>
          </w:tcPr>
          <w:p>
            <w:pPr>
              <w:ind w:left="20"/>
              <w:spacing w:after="0"/>
              <w:rPr>
                <w:sz w:val="20"/>
                <w:szCs w:val="20"/>
                <w:color w:val="auto"/>
              </w:rPr>
            </w:pPr>
            <w:r>
              <w:rPr>
                <w:rFonts w:ascii="Arial" w:cs="Arial" w:eastAsia="Arial" w:hAnsi="Arial"/>
                <w:sz w:val="18"/>
                <w:szCs w:val="18"/>
                <w:color w:val="auto"/>
              </w:rPr>
              <w:t>101.DEF</w:t>
            </w:r>
          </w:p>
        </w:tc>
        <w:tc>
          <w:tcPr>
            <w:tcW w:w="3220" w:type="dxa"/>
            <w:vAlign w:val="bottom"/>
          </w:tcPr>
          <w:p>
            <w:pPr>
              <w:ind w:left="80"/>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76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Definition Linkbase Document</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3220" w:type="dxa"/>
            <w:vAlign w:val="bottom"/>
          </w:tcPr>
          <w:p>
            <w:pPr>
              <w:ind w:left="80"/>
              <w:spacing w:after="0"/>
              <w:rPr>
                <w:sz w:val="20"/>
                <w:szCs w:val="20"/>
                <w:color w:val="auto"/>
              </w:rPr>
            </w:pPr>
            <w:r>
              <w:rPr>
                <w:rFonts w:ascii="Arial" w:cs="Arial" w:eastAsia="Arial" w:hAnsi="Arial"/>
                <w:sz w:val="18"/>
                <w:szCs w:val="18"/>
                <w:color w:val="auto"/>
                <w:w w:val="98"/>
              </w:rPr>
              <w:t>Inline XBRL Taxonomy Extension Label</w:t>
            </w:r>
          </w:p>
        </w:tc>
      </w:tr>
      <w:tr>
        <w:trPr>
          <w:trHeight w:val="230"/>
        </w:trPr>
        <w:tc>
          <w:tcPr>
            <w:tcW w:w="76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Linkbase Document</w:t>
            </w:r>
          </w:p>
        </w:tc>
      </w:tr>
      <w:tr>
        <w:trPr>
          <w:trHeight w:val="418"/>
        </w:trPr>
        <w:tc>
          <w:tcPr>
            <w:tcW w:w="760" w:type="dxa"/>
            <w:vAlign w:val="bottom"/>
          </w:tcPr>
          <w:p>
            <w:pPr>
              <w:ind w:left="20"/>
              <w:spacing w:after="0"/>
              <w:rPr>
                <w:sz w:val="20"/>
                <w:szCs w:val="20"/>
                <w:color w:val="auto"/>
              </w:rPr>
            </w:pPr>
            <w:r>
              <w:rPr>
                <w:rFonts w:ascii="Arial" w:cs="Arial" w:eastAsia="Arial" w:hAnsi="Arial"/>
                <w:sz w:val="18"/>
                <w:szCs w:val="18"/>
                <w:color w:val="auto"/>
                <w:w w:val="99"/>
              </w:rPr>
              <w:t>101.PRE</w:t>
            </w:r>
          </w:p>
        </w:tc>
        <w:tc>
          <w:tcPr>
            <w:tcW w:w="3220" w:type="dxa"/>
            <w:vAlign w:val="bottom"/>
          </w:tcPr>
          <w:p>
            <w:pPr>
              <w:ind w:left="80"/>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76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Presentation Linkbase Document</w:t>
            </w:r>
          </w:p>
        </w:tc>
      </w:tr>
    </w:tbl>
    <w:p>
      <w:pPr>
        <w:spacing w:after="0" w:line="202" w:lineRule="exact"/>
        <w:rPr>
          <w:sz w:val="20"/>
          <w:szCs w:val="20"/>
          <w:color w:val="auto"/>
        </w:rPr>
      </w:pPr>
    </w:p>
    <w:p>
      <w:pPr>
        <w:ind w:left="900" w:right="3060" w:hanging="634"/>
        <w:spacing w:after="0" w:line="263"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194310</wp:posOffset>
            </wp:positionV>
            <wp:extent cx="14141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right"/>
        <w:ind w:right="87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87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87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87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w:t>
      </w:r>
    </w:p>
    <w:p>
      <w:pPr>
        <w:spacing w:after="0" w:line="673" w:lineRule="exact"/>
        <w:rPr>
          <w:sz w:val="20"/>
          <w:szCs w:val="20"/>
          <w:color w:val="auto"/>
        </w:rPr>
      </w:pPr>
    </w:p>
    <w:p>
      <w:pPr>
        <w:sectPr>
          <w:pgSz w:w="11900" w:h="16838" w:orient="portrait"/>
          <w:cols w:equalWidth="0" w:num="2">
            <w:col w:w="7120" w:space="720"/>
            <w:col w:w="1179"/>
          </w:cols>
          <w:pgMar w:left="1440" w:top="517" w:right="1440" w:bottom="1440" w:gutter="0" w:footer="0" w:header="0"/>
          <w:type w:val="continuous"/>
        </w:sectPr>
      </w:pPr>
    </w:p>
    <w:p>
      <w:pPr>
        <w:spacing w:after="0" w:line="200" w:lineRule="exact"/>
        <w:rPr>
          <w:sz w:val="20"/>
          <w:szCs w:val="20"/>
          <w:color w:val="auto"/>
        </w:rPr>
      </w:pPr>
    </w:p>
    <w:p>
      <w:pPr>
        <w:ind w:left="360" w:hanging="310"/>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8" w:lineRule="exact"/>
        <w:rPr>
          <w:sz w:val="20"/>
          <w:szCs w:val="20"/>
          <w:color w:val="auto"/>
        </w:rPr>
      </w:pPr>
    </w:p>
    <w:p>
      <w:pPr>
        <w:ind w:left="360" w:hanging="310"/>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16" w:lineRule="exact"/>
        <w:rPr>
          <w:sz w:val="20"/>
          <w:szCs w:val="20"/>
          <w:color w:val="auto"/>
        </w:rPr>
      </w:pPr>
    </w:p>
    <w:p>
      <w:pPr>
        <w:ind w:left="380" w:right="139" w:hanging="330"/>
        <w:spacing w:after="0" w:line="249" w:lineRule="auto"/>
        <w:tabs>
          <w:tab w:leader="none" w:pos="3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omitted from this exhibit and those portions have been separately filed with the Securities and Exchange Commission.</w:t>
      </w:r>
    </w:p>
    <w:p>
      <w:pPr>
        <w:spacing w:after="0" w:line="1" w:lineRule="exact"/>
        <w:rPr>
          <w:sz w:val="20"/>
          <w:szCs w:val="20"/>
          <w:color w:val="auto"/>
        </w:rPr>
      </w:pPr>
    </w:p>
    <w:p>
      <w:pPr>
        <w:ind w:left="360" w:hanging="310"/>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March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March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20"/>
        <w:spacing w:after="0"/>
        <w:rPr>
          <w:sz w:val="20"/>
          <w:szCs w:val="20"/>
          <w:color w:val="auto"/>
        </w:rPr>
      </w:pPr>
      <w:r>
        <w:rPr>
          <w:rFonts w:ascii="Arial" w:cs="Arial" w:eastAsia="Arial" w:hAnsi="Arial"/>
          <w:sz w:val="13"/>
          <w:szCs w:val="13"/>
          <w:b w:val="1"/>
          <w:bCs w:val="1"/>
          <w:color w:val="auto"/>
        </w:rPr>
        <w:t>Signature</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Vimal Mehta, Ph.D.</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Richard Steinhart</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PETER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Peter Mueller, Ph.D.</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JUNE 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June Bray</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SANDEEP LAUMAS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Sandeep Laumas, M.D.</w:t>
      </w:r>
    </w:p>
    <w:p>
      <w:pPr>
        <w:spacing w:after="0" w:line="200" w:lineRule="exact"/>
        <w:rPr>
          <w:sz w:val="20"/>
          <w:szCs w:val="20"/>
          <w:color w:val="auto"/>
        </w:rPr>
      </w:pPr>
    </w:p>
    <w:p>
      <w:pPr>
        <w:spacing w:after="0" w:line="241"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KRISHNAN NANDABALAN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Krishnan Nandabalan, Ph.D.</w:t>
      </w:r>
    </w:p>
    <w:p>
      <w:pPr>
        <w:spacing w:after="0" w:line="200" w:lineRule="exact"/>
        <w:rPr>
          <w:sz w:val="20"/>
          <w:szCs w:val="20"/>
          <w:color w:val="auto"/>
        </w:rPr>
      </w:pPr>
    </w:p>
    <w:p>
      <w:pPr>
        <w:spacing w:after="0" w:line="28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MICHAL VOTRUBA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21602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4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Michal Votruba</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BioXcel Therapeutics, Inc.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5715</wp:posOffset>
            </wp:positionV>
            <wp:extent cx="28200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Vimal Mehta</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5715</wp:posOffset>
            </wp:positionV>
            <wp:extent cx="2820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Richard Steinhart, Chief Financial Officer</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(Principal Financial Officer)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ind w:left="1560"/>
              <w:spacing w:after="0"/>
              <w:rPr>
                <w:sz w:val="20"/>
                <w:szCs w:val="20"/>
                <w:color w:val="auto"/>
              </w:rPr>
            </w:pPr>
            <w:r>
              <w:rPr>
                <w:rFonts w:ascii="Arial" w:cs="Arial" w:eastAsia="Arial" w:hAnsi="Arial"/>
                <w:sz w:val="13"/>
                <w:szCs w:val="13"/>
                <w:b w:val="1"/>
                <w:bCs w:val="1"/>
                <w:color w:val="auto"/>
              </w:rPr>
              <w:t>Title</w:t>
            </w:r>
          </w:p>
        </w:tc>
        <w:tc>
          <w:tcPr>
            <w:tcW w:w="1300" w:type="dxa"/>
            <w:vAlign w:val="bottom"/>
          </w:tcPr>
          <w:p>
            <w:pPr>
              <w:ind w:left="90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540"/>
        </w:trPr>
        <w:tc>
          <w:tcPr>
            <w:tcW w:w="3380" w:type="dxa"/>
            <w:vAlign w:val="bottom"/>
          </w:tcPr>
          <w:p>
            <w:pPr>
              <w:spacing w:after="0"/>
              <w:rPr>
                <w:sz w:val="20"/>
                <w:szCs w:val="20"/>
                <w:color w:val="auto"/>
              </w:rPr>
            </w:pPr>
            <w:r>
              <w:rPr>
                <w:rFonts w:ascii="Arial" w:cs="Arial" w:eastAsia="Arial" w:hAnsi="Arial"/>
                <w:sz w:val="18"/>
                <w:szCs w:val="18"/>
                <w:color w:val="auto"/>
              </w:rPr>
              <w:t>Chief Executive Officer, President, and</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w w:val="89"/>
              </w:rPr>
              <w:t>March 10, 2022</w:t>
            </w:r>
          </w:p>
        </w:tc>
        <w:tc>
          <w:tcPr>
            <w:tcW w:w="0" w:type="dxa"/>
            <w:vAlign w:val="bottom"/>
          </w:tcPr>
          <w:p>
            <w:pPr>
              <w:spacing w:after="0"/>
              <w:rPr>
                <w:sz w:val="1"/>
                <w:szCs w:val="1"/>
                <w:color w:val="auto"/>
              </w:rPr>
            </w:pPr>
          </w:p>
        </w:tc>
      </w:tr>
      <w:tr>
        <w:trPr>
          <w:trHeight w:val="122"/>
        </w:trPr>
        <w:tc>
          <w:tcPr>
            <w:tcW w:w="3380" w:type="dxa"/>
            <w:vAlign w:val="bottom"/>
            <w:vMerge w:val="restart"/>
          </w:tcPr>
          <w:p>
            <w:pPr>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4"/>
        </w:trPr>
        <w:tc>
          <w:tcPr>
            <w:tcW w:w="3380" w:type="dxa"/>
            <w:vAlign w:val="bottom"/>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w w:val="89"/>
              </w:rPr>
              <w:t>March 10, 2022</w:t>
            </w:r>
          </w:p>
        </w:tc>
        <w:tc>
          <w:tcPr>
            <w:tcW w:w="0" w:type="dxa"/>
            <w:vAlign w:val="bottom"/>
          </w:tcPr>
          <w:p>
            <w:pPr>
              <w:spacing w:after="0"/>
              <w:rPr>
                <w:sz w:val="1"/>
                <w:szCs w:val="1"/>
                <w:color w:val="auto"/>
              </w:rPr>
            </w:pPr>
          </w:p>
        </w:tc>
      </w:tr>
      <w:tr>
        <w:trPr>
          <w:trHeight w:val="122"/>
        </w:trPr>
        <w:tc>
          <w:tcPr>
            <w:tcW w:w="3380" w:type="dxa"/>
            <w:vAlign w:val="bottom"/>
            <w:vMerge w:val="restart"/>
          </w:tcPr>
          <w:p>
            <w:pPr>
              <w:spacing w:after="0"/>
              <w:rPr>
                <w:sz w:val="20"/>
                <w:szCs w:val="20"/>
                <w:color w:val="auto"/>
              </w:rPr>
            </w:pPr>
            <w:r>
              <w:rPr>
                <w:rFonts w:ascii="Arial" w:cs="Arial" w:eastAsia="Arial" w:hAnsi="Arial"/>
                <w:sz w:val="18"/>
                <w:szCs w:val="18"/>
                <w:i w:val="1"/>
                <w:iCs w:val="1"/>
                <w:color w:val="auto"/>
              </w:rPr>
              <w:t>Officer and Principal Accounting Officer)</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338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10, 2022</w:t>
            </w:r>
          </w:p>
        </w:tc>
        <w:tc>
          <w:tcPr>
            <w:tcW w:w="0" w:type="dxa"/>
            <w:vAlign w:val="bottom"/>
          </w:tcPr>
          <w:p>
            <w:pPr>
              <w:spacing w:after="0"/>
              <w:rPr>
                <w:sz w:val="1"/>
                <w:szCs w:val="1"/>
                <w:color w:val="auto"/>
              </w:rPr>
            </w:pPr>
          </w:p>
        </w:tc>
      </w:tr>
      <w:tr>
        <w:trPr>
          <w:trHeight w:val="756"/>
        </w:trPr>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10, 2022</w:t>
            </w:r>
          </w:p>
        </w:tc>
        <w:tc>
          <w:tcPr>
            <w:tcW w:w="0" w:type="dxa"/>
            <w:vAlign w:val="bottom"/>
          </w:tcPr>
          <w:p>
            <w:pPr>
              <w:spacing w:after="0"/>
              <w:rPr>
                <w:sz w:val="1"/>
                <w:szCs w:val="1"/>
                <w:color w:val="auto"/>
              </w:rPr>
            </w:pPr>
          </w:p>
        </w:tc>
      </w:tr>
      <w:tr>
        <w:trPr>
          <w:trHeight w:val="972"/>
        </w:trPr>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10, 2022</w:t>
            </w:r>
          </w:p>
        </w:tc>
        <w:tc>
          <w:tcPr>
            <w:tcW w:w="0" w:type="dxa"/>
            <w:vAlign w:val="bottom"/>
          </w:tcPr>
          <w:p>
            <w:pPr>
              <w:spacing w:after="0"/>
              <w:rPr>
                <w:sz w:val="1"/>
                <w:szCs w:val="1"/>
                <w:color w:val="auto"/>
              </w:rPr>
            </w:pPr>
          </w:p>
        </w:tc>
      </w:tr>
      <w:tr>
        <w:trPr>
          <w:trHeight w:val="972"/>
        </w:trPr>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10, 2022</w:t>
            </w:r>
          </w:p>
        </w:tc>
        <w:tc>
          <w:tcPr>
            <w:tcW w:w="0" w:type="dxa"/>
            <w:vAlign w:val="bottom"/>
          </w:tcPr>
          <w:p>
            <w:pPr>
              <w:spacing w:after="0"/>
              <w:rPr>
                <w:sz w:val="1"/>
                <w:szCs w:val="1"/>
                <w:color w:val="auto"/>
              </w:rPr>
            </w:pPr>
          </w:p>
        </w:tc>
      </w:tr>
      <w:tr>
        <w:trPr>
          <w:trHeight w:val="1012"/>
        </w:trPr>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10, 2022</w:t>
            </w:r>
          </w:p>
        </w:tc>
        <w:tc>
          <w:tcPr>
            <w:tcW w:w="0" w:type="dxa"/>
            <w:vAlign w:val="bottom"/>
          </w:tcPr>
          <w:p>
            <w:pPr>
              <w:spacing w:after="0"/>
              <w:rPr>
                <w:sz w:val="1"/>
                <w:szCs w:val="1"/>
                <w:color w:val="auto"/>
              </w:rPr>
            </w:pPr>
          </w:p>
        </w:tc>
      </w:tr>
    </w:tbl>
    <w:p>
      <w:pPr>
        <w:spacing w:after="0" w:line="433" w:lineRule="exact"/>
        <w:rPr>
          <w:sz w:val="20"/>
          <w:szCs w:val="20"/>
          <w:color w:val="auto"/>
        </w:rPr>
      </w:pPr>
    </w:p>
    <w:p>
      <w:pPr>
        <w:sectPr>
          <w:pgSz w:w="11900" w:h="16838" w:orient="portrait"/>
          <w:cols w:equalWidth="0" w:num="2">
            <w:col w:w="2980" w:space="660"/>
            <w:col w:w="5379"/>
          </w:cols>
          <w:pgMar w:left="1440" w:top="517"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0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the Stockholders and the Board of Directors of BioXcel Therapeutics, Inc.</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Opinion on the Financial Statements</w:t>
      </w:r>
    </w:p>
    <w:p>
      <w:pPr>
        <w:spacing w:after="0" w:line="214"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6"/>
          <w:szCs w:val="16"/>
          <w:color w:val="auto"/>
        </w:rPr>
        <w:t>We have audited the accompanying balance sheet of BioXcel Therapeutics, Inc. (the Company) as of December 31, 2021, the related statements of operations and stockholders' equity and cash flows for the year then ended, and the related notes (collectively referred to as the “financial statements”). In our opinion, the financial statements present fairly, in all material respects, the financial position of the Company at December 31, 2021, and the results of its operations and its cash flows for the year then ended in conformity with U.S. generally accepted accounting principles.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Basis for Opinion</w:t>
      </w:r>
    </w:p>
    <w:p>
      <w:pPr>
        <w:spacing w:after="0" w:line="214"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have served as the Company’s auditor since 2021.</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Stamford, Connecticut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BioXcel Therapeutics, Inc.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Haven, CT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have audited the accompanying balance sheet of BioXcel Therapeutics, Inc. (the “Company”) as of December 31, 2020, the related statements of operations, changes in stockholders’ equity, and cash flows for the year ended December 31, 2020, and the related notes (collectively referred to as the “financial statements”). In our opinion, the financial statements present fairly, in all material respects, the financial position of the Company at December 31, 2020, and the results of its operations and its cash flows for the year ended December 31, 2020</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served as the Company's auditor from 2017 to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Stamford, Connecticut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w w:val="94"/>
              </w:rPr>
              <w:t>December 31,</w:t>
            </w: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232,968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236,812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239,439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4,678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Due to related party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operating lease liabilities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200"/>
              <w:spacing w:after="0" w:line="201" w:lineRule="exact"/>
              <w:rPr>
                <w:sz w:val="20"/>
                <w:szCs w:val="20"/>
                <w:color w:val="auto"/>
              </w:rPr>
            </w:pPr>
            <w:r>
              <w:rPr>
                <w:rFonts w:ascii="Arial" w:cs="Arial" w:eastAsia="Arial" w:hAnsi="Arial"/>
                <w:sz w:val="18"/>
                <w:szCs w:val="18"/>
                <w:color w:val="auto"/>
              </w:rPr>
              <w:t>Common stock, $0.001 par value, 100,000 and 50,000 shares authorized as of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w w:val="94"/>
              </w:rPr>
              <w:t>December 31, 2021 and December 31, 2020, respectively; 27,980 and 24,417 shares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w w:val="92"/>
              </w:rPr>
              <w:t>issued and outstanding as of December 31, 2021 and December 31, 2020, 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Preferred stock, $0.001 par value, 10,000 shares authorized; no shares issued and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as of December 31, 2021 and December 31, 2020, respectively</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467,427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(245,788)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221,667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57,995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24,302</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106,935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82,297</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attributable to common stockholders</w:t>
            </w:r>
          </w:p>
        </w:tc>
        <w:tc>
          <w:tcPr>
            <w:tcW w:w="6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(4.05)</w:t>
            </w:r>
          </w:p>
        </w:tc>
        <w:tc>
          <w:tcPr>
            <w:tcW w:w="24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90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9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76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02"/>
        </w:trPr>
        <w:tc>
          <w:tcPr>
            <w:tcW w:w="4080" w:type="dxa"/>
            <w:vAlign w:val="bottom"/>
          </w:tcPr>
          <w:p>
            <w:pPr>
              <w:ind w:left="220"/>
              <w:spacing w:after="0" w:line="201" w:lineRule="exact"/>
              <w:rPr>
                <w:sz w:val="20"/>
                <w:szCs w:val="20"/>
                <w:color w:val="auto"/>
              </w:rPr>
            </w:pPr>
            <w:r>
              <w:rPr>
                <w:rFonts w:ascii="Arial" w:cs="Arial" w:eastAsia="Arial" w:hAnsi="Arial"/>
                <w:sz w:val="18"/>
                <w:szCs w:val="18"/>
                <w:color w:val="auto"/>
                <w:w w:val="95"/>
              </w:rPr>
              <w:t>Issuance of common shares, net of issuance costs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of $17,815</w:t>
            </w:r>
          </w:p>
        </w:tc>
        <w:tc>
          <w:tcPr>
            <w:tcW w:w="780" w:type="dxa"/>
            <w:vAlign w:val="bottom"/>
          </w:tcPr>
          <w:p>
            <w:pPr>
              <w:jc w:val="right"/>
              <w:spacing w:after="0"/>
              <w:rPr>
                <w:sz w:val="20"/>
                <w:szCs w:val="20"/>
                <w:color w:val="auto"/>
              </w:rPr>
            </w:pPr>
            <w:r>
              <w:rPr>
                <w:rFonts w:ascii="Arial" w:cs="Arial" w:eastAsia="Arial" w:hAnsi="Arial"/>
                <w:sz w:val="18"/>
                <w:szCs w:val="18"/>
                <w:color w:val="auto"/>
              </w:rPr>
              <w:t>6,300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255,779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255,785</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Purchase and cancellation of shares from BioXcel</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LLC</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(9,024)</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(82,169)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(82,169)</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345,529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(138,857)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206,696</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20"/>
              <w:spacing w:after="0" w:line="195" w:lineRule="exact"/>
              <w:rPr>
                <w:sz w:val="20"/>
                <w:szCs w:val="20"/>
                <w:color w:val="auto"/>
              </w:rPr>
            </w:pPr>
            <w:r>
              <w:rPr>
                <w:rFonts w:ascii="Arial" w:cs="Arial" w:eastAsia="Arial" w:hAnsi="Arial"/>
                <w:sz w:val="18"/>
                <w:szCs w:val="18"/>
                <w:color w:val="auto"/>
                <w:w w:val="95"/>
              </w:rPr>
              <w:t>Issuance of common shares, net of issuance costs</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of $3,542</w:t>
            </w:r>
          </w:p>
        </w:tc>
        <w:tc>
          <w:tcPr>
            <w:tcW w:w="780" w:type="dxa"/>
            <w:vAlign w:val="bottom"/>
          </w:tcPr>
          <w:p>
            <w:pPr>
              <w:jc w:val="right"/>
              <w:spacing w:after="0"/>
              <w:rPr>
                <w:sz w:val="20"/>
                <w:szCs w:val="20"/>
                <w:color w:val="auto"/>
              </w:rPr>
            </w:pPr>
            <w:r>
              <w:rPr>
                <w:rFonts w:ascii="Arial" w:cs="Arial" w:eastAsia="Arial" w:hAnsi="Arial"/>
                <w:sz w:val="18"/>
                <w:szCs w:val="18"/>
                <w:color w:val="auto"/>
              </w:rPr>
              <w:t>3,279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100,990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100,993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(106,931)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(106,931)</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467,427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(245,788)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221,667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(106,931)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equipment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 right of use 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Accounts payable, accrued expenses, and other liabilities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 liabilities</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40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equipment and leasehold improvements</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 of common stock, net of issuance costs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Purchase and cancellation of shares from BioXcel LLC</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Exercise of stock options</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102,447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247,359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213,119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0" w:type="dxa"/>
            <w:vAlign w:val="bottom"/>
          </w:tcPr>
          <w:p>
            <w:pPr>
              <w:spacing w:after="0"/>
              <w:rPr>
                <w:sz w:val="1"/>
                <w:szCs w:val="1"/>
                <w:color w:val="auto"/>
              </w:rPr>
            </w:pPr>
          </w:p>
        </w:tc>
      </w:tr>
      <w:tr>
        <w:trPr>
          <w:trHeight w:val="250"/>
        </w:trPr>
        <w:tc>
          <w:tcPr>
            <w:tcW w:w="644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4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232,968</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213,119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w w:val="95"/>
              </w:rPr>
              <w:t>Purchases of property and equipment in accounts payable and accrued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Operating lease ROU assets obtained in exchange for operating lease liabilities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ind w:left="60" w:right="239" w:firstLine="324"/>
        <w:spacing w:after="0" w:line="271" w:lineRule="auto"/>
        <w:rPr>
          <w:sz w:val="20"/>
          <w:szCs w:val="20"/>
          <w:color w:val="auto"/>
        </w:rPr>
      </w:pPr>
      <w:r>
        <w:rPr>
          <w:rFonts w:ascii="Arial" w:cs="Arial" w:eastAsia="Arial" w:hAnsi="Arial"/>
          <w:sz w:val="17"/>
          <w:szCs w:val="17"/>
          <w:color w:val="auto"/>
        </w:rPr>
        <w:t>BioXcel Therapeutics, Inc. (“BTI”) is a clinical stage biopharmaceutical company focused on drug development that utilizes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proprietary, orally dissolving, sublingual thin film formulation of the adrenergic receptor agonist dexmedetomidine (“Dex”), for the treatment of agitation and opioid withdrawal symptoms, and BXCL701, an orally administered, systemic innate immune activator for the treatment of aggressive forms of prostate cancer and advanced solid tumors that are refractory or treatment naïve to checkpoint inhibitors.</w:t>
      </w:r>
    </w:p>
    <w:p>
      <w:pPr>
        <w:spacing w:after="0" w:line="178"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As used in these financial statements, unless otherwise specified or the context otherwise requires, the terms the “Company” or “BTI” refer to BioXcel Therapeutics, Inc., and “BioXcel, LLC ” refer to BioXcel LLC and, its predecessor, BioXcel Corporation.</w:t>
      </w:r>
    </w:p>
    <w:p>
      <w:pPr>
        <w:spacing w:after="0" w:line="184"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Company was incorporated under the laws of the State of Delaware on March 29, 2017. The Company’s principal office is in New Haven, Connecticut.</w:t>
      </w:r>
    </w:p>
    <w:p>
      <w:pPr>
        <w:spacing w:after="0" w:line="170"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Certain reclassifications have been made to the prior year financial information to conform to the current period presentation. These reclassifications had no effect on the reported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During the first quarter ended March 31, 2020, and continuing through December 31, 2021, the novel coronavirus disease, or COVID-19, was declared a pandemic and spread to multiple regions across the globe, including the United States and Europe.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64"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8"/>
          <w:szCs w:val="18"/>
          <w:color w:val="auto"/>
        </w:rPr>
        <w:t>To date we have taken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 Beginning late in the second quarter of 2020, we began to slowly bring our staff, in very limited numbers, back to our office. This modified return-to-work approach is continuing into 2022. We have taken steps to protect our workforce and have instituted strict work rules to protect our employees.</w:t>
      </w:r>
    </w:p>
    <w:p>
      <w:pPr>
        <w:spacing w:after="0" w:line="192"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We remain committed to our clinical programs and development plans. Other than Phase 2 clinical trial evaluating BXCL501 in patients with delirium through December 31, 2021, we have not experienced any significant delays to our ongoing or planned clinical trials, except for challenges in accessing elderly care facilities and ICU settings; however, this could rapidly change.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w:t>
      </w:r>
    </w:p>
    <w:p>
      <w:pPr>
        <w:spacing w:after="0" w:line="170"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The Company believes that its existing cash and cash equivalents will be sufficient to cover its cash flow requirements for at least the next twelve months from the issuance of these financial statements. However, the Company’s future requirements may change and will depend on numerous factors.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Company’s financial statements are prepared in accordance with GAAP. The preparation of the Company’s financial statements requires it to make estimates and assumptions that impact the reported amounts of assets, liabilities and expenses in its financial statements and the accompanying notes. Although these estimates are based on the Company’s knowledge of current events and actions it may undertake in the future, actual results may ultimately materially differ from these estimates.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As of December 31, 2021, and 2020, cash equivalents were comprised primarily of money market funds. Cash and cash equivalents held at financial institutions may at times exceed federally insured amounts. We believe we mitigate such risk by investing in or through major financial institutions.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Property and equipment are recorded at cost and depreciated and amortized over the shorter of their remaining lease term or their estimated useful life on a straight-line basis as follows:</w:t>
      </w:r>
    </w:p>
    <w:p>
      <w:pPr>
        <w:spacing w:after="0" w:line="17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Equipment</w:t>
            </w:r>
          </w:p>
        </w:tc>
        <w:tc>
          <w:tcPr>
            <w:tcW w:w="400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Furniture</w:t>
            </w:r>
          </w:p>
        </w:tc>
        <w:tc>
          <w:tcPr>
            <w:tcW w:w="400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00" w:type="dxa"/>
            <w:vAlign w:val="bottom"/>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202"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Expenditures for maintenance and repairs which do not improve or extend the useful lives of respective assets are expensed as incurred. When assets are sold or retired, the related cost and accumulated depreciation are removed from their respective accounts and any resulting gain or loss is included within general and administrative expenses in net loss from operations in the statement of operations.</w:t>
      </w:r>
    </w:p>
    <w:p>
      <w:pPr>
        <w:spacing w:after="0" w:line="187"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 xml:space="preserve">The Company follows the guidance provided by FASB ASC Topic 360-10,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other current liabilities, and the long-term portion of operating lease liabilities in our balance sheet.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70"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 Company accounts for stock-based compensation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which requires the measurement and recognition of compensation expense based on estimated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values for all share-based awards made to employees and directors, including stock options. The Company’s 2017 Equity Incentive Plan became effective in August 2017. The Company’s 2020 Incentive Award Plan (“2020 Plan”) became effective in May 2020. Following the effective date of the Company's 2020 Stock Plan, the Company ceased granting awards under the 2017 Plan, however the terms and conditions of the 2017 Plan continue to govern any outstanding awards granted thereunder.</w:t>
      </w:r>
    </w:p>
    <w:p>
      <w:pPr>
        <w:spacing w:after="0" w:line="19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The Company’s stock option awards are valued at fair value on the date of grant and that fair value is recognized over the requisite service period using the accelerated attribution method. The estimated fair value of stock option awards was determined using the Black-Scholes option pricing model on the date of grant. Prior to the IPO, significant judgment and estimates were used to estimate the fair value of these awards prior to the IPO. Stock awards granted by the Company subsequent to the IPO are valued using market prices at the date of grant.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using the accelerated attribution method. The Company has elected to account for forfeitures as they occur, by reversing compensation cost when the award is forfeited.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the Company’s research and development activities. At the end of the reporting period, the Company compares payments made to third party service providers to the estimated progress toward completion of the research or development objectives. Depending on the timing of payments to the service providers and the progress that the Company estimates has been made as a result of the service provided, the Company may record net prepaid or accrued expense relating to these costs. Such estimates are subject to change as additional information becomes available. The Company expenses research and development costs as incurred.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 Accrued Under Contractual Arrangements</w:t>
      </w:r>
    </w:p>
    <w:p>
      <w:pPr>
        <w:spacing w:after="0" w:line="229" w:lineRule="exact"/>
        <w:rPr>
          <w:sz w:val="20"/>
          <w:szCs w:val="20"/>
          <w:color w:val="auto"/>
        </w:rPr>
      </w:pPr>
    </w:p>
    <w:p>
      <w:pPr>
        <w:ind w:left="60" w:right="259" w:firstLine="324"/>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research institutions and contract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expensed as incurred as general and administrative costs as recoverability of such expenditures is uncertain.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The Company applies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 financial assets and liabilities measured on a recurring basis which requires disclosure that establishes a framework for measuring fair value.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ASC 820 requires that fair value measurements be classified and disclosed in one of three categories:</w:t>
      </w:r>
    </w:p>
    <w:p>
      <w:pPr>
        <w:spacing w:after="0" w:line="185"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2"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4"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The carrying amounts of cash and accounts payable approximate fair value due to the short-term nature of these instruments.</w:t>
      </w:r>
    </w:p>
    <w:p>
      <w:pPr>
        <w:spacing w:after="0" w:line="170" w:lineRule="exact"/>
        <w:rPr>
          <w:sz w:val="20"/>
          <w:szCs w:val="20"/>
          <w:color w:val="auto"/>
        </w:rPr>
      </w:pPr>
    </w:p>
    <w:p>
      <w:pPr>
        <w:ind w:left="60" w:right="339" w:firstLine="324"/>
        <w:spacing w:after="0" w:line="342" w:lineRule="auto"/>
        <w:rPr>
          <w:sz w:val="20"/>
          <w:szCs w:val="20"/>
          <w:color w:val="auto"/>
        </w:rPr>
      </w:pPr>
      <w:r>
        <w:rPr>
          <w:rFonts w:ascii="Arial" w:cs="Arial" w:eastAsia="Arial" w:hAnsi="Arial"/>
          <w:sz w:val="16"/>
          <w:szCs w:val="16"/>
          <w:color w:val="auto"/>
        </w:rPr>
        <w:t>As of December 31, 2021, and December 31, 2020, the Company had $232,968 and $213,119, respectively, in cash and U.S. government money market accounts (included in cash and cash equivalents) which was valued based on Level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1 inputs. There were no transfers between levels within the hierarchy during the year ended December 31, 2021 and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Basic earnings (loss) per share (“EPS”) is calculated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left="60" w:right="239" w:firstLine="324"/>
        <w:spacing w:after="0" w:line="279" w:lineRule="auto"/>
        <w:rPr>
          <w:sz w:val="20"/>
          <w:szCs w:val="20"/>
          <w:color w:val="auto"/>
        </w:rPr>
      </w:pPr>
      <w:r>
        <w:rPr>
          <w:rFonts w:ascii="Arial" w:cs="Arial" w:eastAsia="Arial" w:hAnsi="Arial"/>
          <w:sz w:val="17"/>
          <w:szCs w:val="17"/>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our chief operating decision maker has made such decisions and assessed performance at the company level as one segment.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xml:space="preserve"> which amends the existing guidance relating to the accounting for income taxes. ASU No. 2019-12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ASU No. 2019-12 is effective for fiscal years beginning after December 15, 2020. The Company adopted ASU No. 2019-12 effective January 1, 2021. The adoption of ASU No. 2019-12 did not have a material impact on the Company’s financial statements.</w:t>
      </w:r>
    </w:p>
    <w:p>
      <w:pPr>
        <w:spacing w:after="0" w:line="195"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Customer’s Accounting for Implementation Costs Incurred in a Cloud Computing Arrangement That Is a Service Contract</w:t>
      </w:r>
      <w:r>
        <w:rPr>
          <w:rFonts w:ascii="Arial" w:cs="Arial" w:eastAsia="Arial" w:hAnsi="Arial"/>
          <w:sz w:val="17"/>
          <w:szCs w:val="17"/>
          <w:color w:val="auto"/>
        </w:rPr>
        <w:t>. We adopted this standard effective January 1, 2020 on a prospective basis. ASU No. 2018-15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certain implementation costs for cloud computing arrangements are capitalized and amortized over the term of associated hosted cloud computing arrangement service. ASU No. 2018-15 also provides classification guidance on these implementation costs as well as additional quantitative and qualitative disclosures. The adoption of ASU No. 2018-15 did not have an effect on the Company’s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25"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 and subsequent amendments to the initial guidance: ASU No. 2018-19, ASU No. 2019-04 and No. ASU 2019-05 (collectively, “Topic 326”)</w:t>
      </w:r>
      <w:r>
        <w:rPr>
          <w:rFonts w:ascii="Arial" w:cs="Arial" w:eastAsia="Arial" w:hAnsi="Arial"/>
          <w:sz w:val="16"/>
          <w:szCs w:val="16"/>
          <w:color w:val="auto"/>
        </w:rPr>
        <w:t>. Topic 326 requires measurement and recognition of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losses for financial assets held. Topic 326 was to be effective for reporting periods beginning after December 15, 2019, with early adoption permitted. In November 2019, the FASB issued ASU No. 2019-10,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 Derivatives and Hedging (Topic 815)</w:t>
      </w:r>
      <w:r>
        <w:rPr>
          <w:rFonts w:ascii="Arial" w:cs="Arial" w:eastAsia="Arial" w:hAnsi="Arial"/>
          <w:sz w:val="16"/>
          <w:szCs w:val="16"/>
          <w:color w:val="auto"/>
        </w:rPr>
        <w:t>,</w:t>
      </w:r>
      <w:r>
        <w:rPr>
          <w:rFonts w:ascii="Arial" w:cs="Arial" w:eastAsia="Arial" w:hAnsi="Arial"/>
          <w:sz w:val="16"/>
          <w:szCs w:val="16"/>
          <w:i w:val="1"/>
          <w:iCs w:val="1"/>
          <w:color w:val="auto"/>
        </w:rPr>
        <w:t xml:space="preserve"> and Leases (Topic 842) </w:t>
      </w:r>
      <w:r>
        <w:rPr>
          <w:rFonts w:ascii="Arial" w:cs="Arial" w:eastAsia="Arial" w:hAnsi="Arial"/>
          <w:sz w:val="16"/>
          <w:szCs w:val="16"/>
          <w:color w:val="auto"/>
        </w:rPr>
        <w:t>Effective Dates, which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dates for the Company, until fiscal year 2023. The Company does not expect that the adoption of ASU No. 2016-13 will have a material impact on its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Financing Activities</w:t>
      </w:r>
    </w:p>
    <w:p>
      <w:pPr>
        <w:spacing w:after="0" w:line="229"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In June 2021, the Company sold in a registered offering 3,155 shares of its common stock at a public offering price of $31.70 per share. The Company received proceeds of $96,937, net of issuance costs of $3,042.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In May 2021, the Company entered into an Open Market Sale Agreement (the “Sale Agreement”) with Jefferies LLC (“Jefferies”) pursuant to which the Company could offer and sell shares of its common stock, par value $0.001 per share (the “Common Stock”), having an aggregate offering price of up to $100,000 (the “Shares”), from time to time, through an “at the marketing offering” program under which Jefferies will act as sale agent. The Company sold 124 shares under the Sale Agreement in June 2021. As of December 31, 2021, the Company had received proceeds of $4,056, net of issuance costs of $500.</w:t>
      </w:r>
    </w:p>
    <w:p>
      <w:pPr>
        <w:spacing w:after="0" w:line="192"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In July 2020, the Company sold in a registered offering 4,000 shares of its common stock at a public offering price of $50.00. The Company received proceeds of approximately $186,974, net of issuance costs of $13,026. Under the terms of the Underwriting Agreement entered into by the Company in connection with the July 2020 offering, certain stockholders of the Company granted the underwriters an option exercisable for thirty days to purchase up to an additional 600 shares of common stock at the public offering price less underwriting discounts and commissions, which was not exercised. The Company intends to use the net proceeds of the offering to fund ongoing clinical trials, commercialization preparation and for general corporate purposes.</w:t>
      </w:r>
    </w:p>
    <w:p>
      <w:pPr>
        <w:spacing w:after="0" w:line="177" w:lineRule="exact"/>
        <w:rPr>
          <w:sz w:val="20"/>
          <w:szCs w:val="20"/>
          <w:color w:val="auto"/>
        </w:rPr>
      </w:pPr>
    </w:p>
    <w:p>
      <w:pPr>
        <w:jc w:val="both"/>
        <w:ind w:left="60" w:right="399" w:firstLine="324"/>
        <w:spacing w:after="0" w:line="311" w:lineRule="auto"/>
        <w:rPr>
          <w:sz w:val="20"/>
          <w:szCs w:val="20"/>
          <w:color w:val="auto"/>
        </w:rPr>
      </w:pPr>
      <w:r>
        <w:rPr>
          <w:rFonts w:ascii="Arial" w:cs="Arial" w:eastAsia="Arial" w:hAnsi="Arial"/>
          <w:sz w:val="16"/>
          <w:szCs w:val="16"/>
          <w:color w:val="auto"/>
        </w:rPr>
        <w:t>In February 2020, the Company sold in a registered offering 2,300 shares of its common stock at a public offering price of $32.00 per share. The Company received proceeds of $68,811, net of issuance costs of $4,789. The Company used $9,024 of the proceeds to purchase and cancel 300 shares of common stock from BioXcel LLC.</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BioXcel LLC</w:t>
      </w:r>
    </w:p>
    <w:p>
      <w:pPr>
        <w:spacing w:after="0" w:line="229"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The Company entered into a Separation and Shared Services Agreement with BioXcel LLC that took effect on June 30, 2017, as amended and restated, or the Services Agreement, pursuit to which services provided by BioXcel LLC through its subsidiaries in India and the United States will continue indefinitely, as agreed upon by the parties. These services are primarily for drug discovery, chemical, manufacturing and controls cost, and administrative support.</w:t>
      </w:r>
    </w:p>
    <w:p>
      <w:pPr>
        <w:spacing w:after="0" w:line="157"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Service charges recorded under this agreement for the year ended December 31, 2021 and 2020 were comprised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4"/>
                <w:szCs w:val="14"/>
                <w:color w:val="auto"/>
              </w:rPr>
            </w:pPr>
          </w:p>
        </w:tc>
      </w:tr>
      <w:tr>
        <w:trPr>
          <w:trHeight w:val="196"/>
        </w:trPr>
        <w:tc>
          <w:tcPr>
            <w:tcW w:w="5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196"/>
        </w:trPr>
        <w:tc>
          <w:tcPr>
            <w:tcW w:w="5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1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2021 and 2020, $204 and $157 related to these service charges is included in due to related parties in the Company’s balance sheet, respectively.</w:t>
      </w:r>
    </w:p>
    <w:p>
      <w:pPr>
        <w:spacing w:after="0" w:line="170"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Under the Services Agreement, the Company has an option, exercisable until March 12, 2023, to enter into a collaborative services agreement with BioXcel LLC pursuant to which BioXcel LLC shall perform product identification and related services for us utilizing EvolverAI.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LLC shall continue to make such product identification and related services available to us through at least September 30, 2024. As of December 31, 2021, this option has not been exercised.</w:t>
      </w:r>
    </w:p>
    <w:p>
      <w:pPr>
        <w:spacing w:after="0" w:line="185"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The Company paid $9,024 in February 2020 for the purchase and subsequent cancellation of 300 shares owned by BioXcel LLC.</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Earnings (Loss) Per Share</w:t>
      </w:r>
    </w:p>
    <w:p>
      <w:pPr>
        <w:spacing w:after="0" w:line="229"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Basic earnings (loss) per share (“EPS”) is calculated in accordance with ASC 260, “Earnings Per Share,” by dividing net income or loss attributable to common stockholders by the weighted average common stock outstanding. Diluted EPS is calculated by adjusting weighted average common shares outstanding for the dilutive effect of common stock options.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6"/>
                <w:szCs w:val="16"/>
                <w:color w:val="auto"/>
              </w:rPr>
            </w:pPr>
          </w:p>
        </w:tc>
      </w:tr>
      <w:tr>
        <w:trPr>
          <w:trHeight w:val="201"/>
        </w:trPr>
        <w:tc>
          <w:tcPr>
            <w:tcW w:w="6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(82,169)</w:t>
            </w: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 in thousands (denominator)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26,373</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21,683</w:t>
            </w:r>
          </w:p>
        </w:tc>
      </w:tr>
      <w:tr>
        <w:trPr>
          <w:trHeight w:val="20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Potentially dilutive securities outstanding consists solely of stock options. The Company had options outstanding to purchase 4,000 and 3,798 shares of common stock as of December 31, 2021 and 2020, respectively.</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property and equipment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66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Furniture</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Work in process</w:t>
            </w:r>
          </w:p>
        </w:tc>
        <w:tc>
          <w:tcPr>
            <w:tcW w:w="2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09"/>
        </w:trPr>
        <w:tc>
          <w:tcPr>
            <w:tcW w:w="46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10"/>
        </w:trPr>
        <w:tc>
          <w:tcPr>
            <w:tcW w:w="466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0"/>
        </w:trPr>
        <w:tc>
          <w:tcPr>
            <w:tcW w:w="4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$297 and $188 for the years ended December 31, 2021 and 2020, respectively.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Accrued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Accrued taxes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Stock-Based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The Company’s 2017 Equity Incentive Plan (the “2017 Plan”) became effective in August 2017. Following the effective date of the Company's 2020 Plan (as defined below), the Company ceased granting awards under the 2017 Plan, however, the terms and conditions of the 2017 Plan continue to govern any outstanding awards granted thereunder.</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Incentive Award Plan</w:t>
      </w:r>
    </w:p>
    <w:p>
      <w:pPr>
        <w:spacing w:after="0" w:line="229"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The Company’s 2020 Plan was approved and became effective at the Company’s 2020 annual meeting of Shareholders on May 20, 2020 and unless, earlier terminated by the Board of Directors, will remain in effect until March 26, 2030. The 2020 Plan originally authorized for issuance the sum of (i) 911 shares of the Company’s common stock authorized for issuance and (ii) 233 shares of the Company’s common stock, which represents the number of shares that remained available for issuance under the 2017 Plan as of immediately prior to the approval of the 2020 Plan by the Company’s shareholders. Any shares of Common Stock which, as of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On January 1, 2021, the shares available for issuance under the 2020 Plan increased by 977 shares and on January 1, 2022, the shares available for issuance under the 2020 Plan increased by 1,119 additional shares pursuant to this provision.</w:t>
      </w:r>
    </w:p>
    <w:p>
      <w:pPr>
        <w:spacing w:after="0" w:line="182"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Options granted under the 2020 Plan have a term of ten years with the vesting schedule determined by the Board of Directors, which is generally four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there were 648 shares available to be granted under the 2020 Plan.</w:t>
      </w:r>
    </w:p>
    <w:p>
      <w:pPr>
        <w:spacing w:after="0" w:line="225"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A summary of the status of the Company’s stock option activity for the year ended December 31, 2021 is presented below (in thousands, except per share amounts):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Price per 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Granted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Outstanding as of December 31, 2021</w:t>
            </w:r>
          </w:p>
        </w:tc>
        <w:tc>
          <w:tcPr>
            <w:tcW w:w="16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0"/>
              </w:rPr>
              <w:t>Options vested and exercisable as of December 31, 2021</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2,684</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580" w:type="dxa"/>
            <w:vAlign w:val="bottom"/>
            <w:gridSpan w:val="2"/>
          </w:tcPr>
          <w:p>
            <w:pPr>
              <w:jc w:val="right"/>
              <w:ind w:right="2061"/>
              <w:spacing w:after="0"/>
              <w:rPr>
                <w:sz w:val="20"/>
                <w:szCs w:val="20"/>
                <w:color w:val="auto"/>
              </w:rPr>
            </w:pPr>
            <w:r>
              <w:rPr>
                <w:rFonts w:ascii="Arial" w:cs="Arial" w:eastAsia="Arial" w:hAnsi="Arial"/>
                <w:sz w:val="18"/>
                <w:szCs w:val="18"/>
                <w:color w:val="auto"/>
              </w:rPr>
              <w:t>F-14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As of December 31, 2021, the intrinsic value of options outstanding was $41,120. The intrinsic value for stock options is calculated based on the difference between the exercise prices of the underlying awards and the quoted stock price of the Company’s common stock as of the reporting date.</w:t>
      </w:r>
    </w:p>
    <w:p>
      <w:pPr>
        <w:spacing w:after="0" w:line="184"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The total intrinsic value of stock options exercised for the years ended December 31, 2021 and 2020 was $11,942 and $11,629, respectively. The total intrinsic value of stock options exercisable for the years ended December 31, 2021 and 2020 was $39,794 and $99,054, respectively.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weighted average grant date fair value of options granted in 2021 and 2020 was $28.81 and $32.71, respectively.</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grant date fair value of options vested at December 31, 2021 was $7.05.</w:t>
      </w:r>
    </w:p>
    <w:p>
      <w:pPr>
        <w:spacing w:after="0" w:line="22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weighted average remaining contractual life is 6.3 years for options exercisable. The weighted average remaining contractual life is 8.8 years for options outstanding.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fair value of options granted during the years ended December 31, 2021 and 2020 was estimated using the Black-Scholes option-pricing model with the following assumptions.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w w:val="96"/>
              </w:rPr>
              <w:t>For the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w w:val="92"/>
              </w:rPr>
              <w:t>For the</w:t>
            </w:r>
          </w:p>
        </w:tc>
      </w:tr>
      <w:tr>
        <w:trPr>
          <w:trHeight w:val="148"/>
        </w:trPr>
        <w:tc>
          <w:tcPr>
            <w:tcW w:w="510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71"/>
        </w:trPr>
        <w:tc>
          <w:tcPr>
            <w:tcW w:w="510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2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5.50 years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 years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5.50 years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 years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90"/>
              </w:rPr>
              <w:t>95.00 %</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- 98.00 %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79.02 %</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- 86.71 %</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36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1.37 %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0.33 %</w:t>
            </w:r>
          </w:p>
        </w:tc>
        <w:tc>
          <w:tcPr>
            <w:tcW w:w="38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2.34 %</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Expected dividend</w:t>
            </w:r>
          </w:p>
        </w:tc>
        <w:tc>
          <w:tcPr>
            <w:tcW w:w="640" w:type="dxa"/>
            <w:vAlign w:val="bottom"/>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0.0 %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80" w:type="dxa"/>
            <w:vAlign w:val="bottom"/>
          </w:tcPr>
          <w:p>
            <w:pPr>
              <w:jc w:val="center"/>
              <w:ind w:left="7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Prior to the Company’s IPO, it did not have a history of market prices of its common stock and, as such, volatility is estimated using historical volatilities of similar public companies. In 2021, the Company began using a combination of the historical volatility of similar public companies and the limited historical information related to the Company’s common stock.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68"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Company recognized stock-based compensation expense under the 2017 Plan and the 2020 Plan of $19,455 and $14,611 for the years ended December 31, 2021 and 2020, respectively.</w:t>
      </w:r>
    </w:p>
    <w:p>
      <w:pPr>
        <w:spacing w:after="0" w:line="170"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Unrecognized compensation expense related to unvested awards as of December 31, 2021 was $18,738 and will be recognized over the remaining vesting periods of the underlying awards. The weighted-average period over which such compensation is expected to be recognized is 1.7 years.</w:t>
      </w:r>
    </w:p>
    <w:p>
      <w:pPr>
        <w:spacing w:after="0" w:line="184"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Total stock-based compensation charges were approximately $19,455 and $14,611 for the years ended December 31, 2021 and 2020, respectively. The Company charged $6,657 and $12,798 to research and development and general and administrative expense for the year ended December 31, 2021, respectively. The Company charged $6,020 and $8,591 to research and development and general and administrative expense for the year ended December 31, 2020, respectively.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Employee Stock Purchase Plan</w:t>
      </w:r>
    </w:p>
    <w:p>
      <w:pPr>
        <w:spacing w:after="0" w:line="229"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Shareholders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market value of a share on the first trading day or on the last trading day of the applicable offering period, whichever is lower. On January 1, 2021, the shares available for issuance under the 2020 ESPP increased by 244 shares and 344 shares were available at December 31, 2021 and on January 1, 2022, the shares available for issuance under the ESPP increased by 156 additional shares pursuant to this provision. To date, no shares have been sold under the ESPP.</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Leases</w:t>
      </w:r>
    </w:p>
    <w:p>
      <w:pPr>
        <w:spacing w:after="0" w:line="219" w:lineRule="exact"/>
        <w:rPr>
          <w:sz w:val="20"/>
          <w:szCs w:val="20"/>
          <w:color w:val="auto"/>
        </w:rPr>
      </w:pPr>
    </w:p>
    <w:p>
      <w:pPr>
        <w:ind w:left="60" w:right="59" w:firstLine="324"/>
        <w:spacing w:after="0" w:line="210" w:lineRule="auto"/>
        <w:rPr>
          <w:sz w:val="20"/>
          <w:szCs w:val="20"/>
          <w:color w:val="auto"/>
        </w:rPr>
      </w:pPr>
      <w:r>
        <w:rPr>
          <w:rFonts w:ascii="Arial" w:cs="Arial" w:eastAsia="Arial" w:hAnsi="Arial"/>
          <w:sz w:val="18"/>
          <w:szCs w:val="18"/>
          <w:color w:val="auto"/>
        </w:rPr>
        <w:t>In August 2018, the Company entered into an agreement to lease approximately 11,040 square feet of space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the building located at 555 Long Wharf Drive, New Haven, Connecticut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which was effective February 22, 2019.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expires in February 2026. Payments under the Company’s lease agreement are fixed.</w:t>
      </w:r>
    </w:p>
    <w:p>
      <w:pPr>
        <w:spacing w:after="0" w:line="195" w:lineRule="exact"/>
        <w:rPr>
          <w:sz w:val="20"/>
          <w:szCs w:val="20"/>
          <w:color w:val="auto"/>
        </w:rPr>
      </w:pPr>
    </w:p>
    <w:p>
      <w:pPr>
        <w:ind w:left="60" w:right="219" w:firstLine="324"/>
        <w:spacing w:after="0" w:line="193" w:lineRule="auto"/>
        <w:rPr>
          <w:sz w:val="20"/>
          <w:szCs w:val="20"/>
          <w:color w:val="auto"/>
        </w:rPr>
      </w:pPr>
      <w:r>
        <w:rPr>
          <w:rFonts w:ascii="Arial" w:cs="Arial" w:eastAsia="Arial" w:hAnsi="Arial"/>
          <w:sz w:val="18"/>
          <w:szCs w:val="18"/>
          <w:color w:val="auto"/>
        </w:rPr>
        <w:t>In August 2020, the Company entered into an amendment to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wherein the Company leased an additional 7,245 square feet of space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the building located at 555 Long Wharf Drive, New Haven, Connecticut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Amendment”).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Amendment expires in February 2026. Payments under the Company’s lease amendment agreement are fixed.</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future minimum annual lease payments under these operating leases as of December 31, 2021 are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Amount</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lease liability</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1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operating lease liability</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0"/>
        </w:trPr>
        <w:tc>
          <w:tcPr>
            <w:tcW w:w="7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$293 as of December 31, 2021 is included in other current liabilities on the balance sheet.</w:t>
      </w:r>
    </w:p>
    <w:p>
      <w:pPr>
        <w:spacing w:after="0" w:line="170"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Company recorded lease expense related to its operating lease right-of-use asset of $365 and $345 for the years ended December 31,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The Company has an option to renew the lease for one additional five-year term at 95% of the then-prevailing market rates but not less than the rental rate at the end of the initial lease term. The renewal option is not included in the right-of-use asset.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left="60" w:right="499" w:firstLine="324"/>
        <w:spacing w:after="0" w:line="313" w:lineRule="auto"/>
        <w:rPr>
          <w:sz w:val="20"/>
          <w:szCs w:val="20"/>
          <w:color w:val="auto"/>
        </w:rPr>
      </w:pPr>
      <w:r>
        <w:rPr>
          <w:rFonts w:ascii="Arial" w:cs="Arial" w:eastAsia="Arial" w:hAnsi="Arial"/>
          <w:sz w:val="16"/>
          <w:szCs w:val="16"/>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December 31, 2021, there were no matters which would have a material impact on the Company’s financial results.</w:t>
      </w:r>
    </w:p>
    <w:p>
      <w:pPr>
        <w:spacing w:after="0" w:line="147"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The Company received a demand letter pursuant to Section 220 of the Delaware General Corporation Law (“DGCL”) from a stockholder seeking disclosure of certain of the Company’s records. The Company responded to those demands, stating its belief that the demand letter failed to fully comply with the requirements of Section 220 of the DGCL. On June 15, 2021, the stockholder filed a complaint in Delaware Chancery Court seeking to compel inspection of books and records pursuant to Section 220 of the DGCL. Pursuant to a negotiated settlement agreement, the matter was dismissed with prejudice on August 10,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There is no provision for income taxes because the Company has historically incurred operating losses and maintains a full valuation allowance against its net deferred tax assets. The reported amount of income tax expense for the years differs from the amount that would result from applying domestic federal statutory tax rates to pretax losses primarily because of changes in valuation allowance.</w:t>
      </w:r>
    </w:p>
    <w:p>
      <w:pPr>
        <w:spacing w:after="0" w:line="187"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The significant components of the Company’s net deferred tax assets at December 31, 2021 and 2020 are shown below. In determining the realizability of the Company’s net deferred tax asset, the Company considered numerous factors, including historical profitability, estimated future taxable income, and the industry in which it operates. Based on this information the Company has provided a valuation allowance for the full amount of its net deferred tax asset because the Company has determined that it is more likely than not that it will not be realized.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vMerge w:val="continue"/>
          </w:tcPr>
          <w:p>
            <w:pPr>
              <w:spacing w:after="0"/>
              <w:rPr>
                <w:sz w:val="17"/>
                <w:szCs w:val="17"/>
                <w:color w:val="auto"/>
              </w:rPr>
            </w:pP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net operating losses</w:t>
            </w:r>
          </w:p>
        </w:tc>
        <w:tc>
          <w:tcPr>
            <w:tcW w:w="3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State net operating losses</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Tax credits</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Capitalized R&amp;D</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Accrued expense</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Lease Accounting - liability</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(71,899)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3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assets</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deferred tax asset (liability)</w:t>
            </w:r>
          </w:p>
        </w:tc>
        <w:tc>
          <w:tcPr>
            <w:tcW w:w="35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00" w:type="dxa"/>
            <w:vAlign w:val="bottom"/>
          </w:tcPr>
          <w:p>
            <w:pPr>
              <w:spacing w:after="0"/>
              <w:rPr>
                <w:sz w:val="24"/>
                <w:szCs w:val="24"/>
                <w:color w:val="auto"/>
              </w:rPr>
            </w:pPr>
          </w:p>
        </w:tc>
        <w:tc>
          <w:tcPr>
            <w:tcW w:w="3720" w:type="dxa"/>
            <w:vAlign w:val="bottom"/>
            <w:gridSpan w:val="2"/>
          </w:tcPr>
          <w:p>
            <w:pPr>
              <w:jc w:val="right"/>
              <w:ind w:right="2407"/>
              <w:spacing w:after="0"/>
              <w:rPr>
                <w:sz w:val="20"/>
                <w:szCs w:val="20"/>
                <w:color w:val="auto"/>
              </w:rPr>
            </w:pPr>
            <w:r>
              <w:rPr>
                <w:rFonts w:ascii="Arial" w:cs="Arial" w:eastAsia="Arial" w:hAnsi="Arial"/>
                <w:sz w:val="18"/>
                <w:szCs w:val="18"/>
                <w:color w:val="auto"/>
              </w:rPr>
              <w:t>F-17</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The income tax benefit for the year ended December 31, 2021 differed from the amounts computed by applying the U.S. federal income tax rate of 21% to loss before tax benefit as a result of nondeductible expenses, tax credits generated and increases in the Company’s valuation allowance.</w:t>
      </w:r>
    </w:p>
    <w:p>
      <w:pPr>
        <w:spacing w:after="0" w:line="184"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A reconciliation between the Company’s effective tax rate and the federal statutory rate for the years ended December 31, 2021 and 2020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21.0 %</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0.1 %</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state credits</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5.8 %</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09"/>
        </w:trPr>
        <w:tc>
          <w:tcPr>
            <w:tcW w:w="69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At December 31, 2021, the Company had approximately $138,843 of gross federal and $138,614 of gross state net operating loss carry-forwards. If not utilized, the federal and state net operating loss carry-forwards will begin to expire in 2037. The federal net operating loss of $136,197 incurred after December 31, 2017 will be carried forward indefinitely. The utilization of such net operating loss carry-forwards and realization of tax benefits in future years depends predominantly upon having taxable income. The Company also has approximately $6,445 of federal research and development credits which will begin to expire in 2037 if not utilized.</w:t>
      </w:r>
    </w:p>
    <w:p>
      <w:pPr>
        <w:spacing w:after="0" w:line="178"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Utilization of the net operating loss, or NOL, and research tax credit carryforwards may be subject to a substantial annual limitation due to ownership change limitations that has occurred or that could occur in the future, as required by Section 382 of the Code, as well as similar state and foreign provisions. These ownership changes may limit the amount of NOL and research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To date, the company's NOL's have not been subject to the Section 382 limitation.</w:t>
      </w:r>
    </w:p>
    <w:p>
      <w:pPr>
        <w:spacing w:after="0" w:line="178" w:lineRule="exact"/>
        <w:rPr>
          <w:sz w:val="20"/>
          <w:szCs w:val="20"/>
          <w:color w:val="auto"/>
        </w:rPr>
      </w:pPr>
    </w:p>
    <w:p>
      <w:pPr>
        <w:ind w:left="60" w:right="219" w:firstLine="324"/>
        <w:spacing w:after="0" w:line="272" w:lineRule="auto"/>
        <w:rPr>
          <w:sz w:val="20"/>
          <w:szCs w:val="20"/>
          <w:color w:val="auto"/>
        </w:rPr>
      </w:pPr>
      <w:r>
        <w:rPr>
          <w:rFonts w:ascii="Arial" w:cs="Arial" w:eastAsia="Arial" w:hAnsi="Arial"/>
          <w:sz w:val="17"/>
          <w:szCs w:val="17"/>
          <w:color w:val="auto"/>
        </w:rPr>
        <w:t>Entities are also required to evaluate, measure, recognize and disclose any uncertain income tax provisions taken on their income tax returns. The Company has analyzed its tax positions and has concluded that as of December 31, 2021, there were no uncertain positions. The Company's U.S. federal and state net operating losses have occurred since its inception in 2017 and as such, tax years subject to potential tax examination could apply from that date because the utilization of net operating losses from prior years opens the relevant year to audit by the IRS and/or state taxing authorities. The Company did not have any unrecognized tax benefits and has not accrued any interest or penalties for the 12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jc w:val="right"/>
        <w:ind w:right="219"/>
        <w:spacing w:after="0"/>
        <w:rPr>
          <w:sz w:val="20"/>
          <w:szCs w:val="20"/>
          <w:color w:val="auto"/>
        </w:rPr>
      </w:pPr>
      <w:r>
        <w:rPr>
          <w:rFonts w:ascii="Arial" w:cs="Arial" w:eastAsia="Arial" w:hAnsi="Arial"/>
          <w:sz w:val="22"/>
          <w:szCs w:val="22"/>
          <w:b w:val="1"/>
          <w:bCs w:val="1"/>
          <w:color w:val="auto"/>
        </w:rPr>
        <w:t>Exhibit 10.20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EXECUTIVE EMPLOYMENT AGREEMENT</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January 12, 2022, by and between Matthew T. Wiley (the “</w:t>
      </w:r>
      <w:r>
        <w:rPr>
          <w:rFonts w:ascii="Arial" w:cs="Arial" w:eastAsia="Arial" w:hAnsi="Arial"/>
          <w:sz w:val="22"/>
          <w:szCs w:val="22"/>
          <w:u w:val="single" w:color="auto"/>
          <w:color w:val="auto"/>
        </w:rPr>
        <w:t>Executive</w:t>
      </w:r>
      <w:r>
        <w:rPr>
          <w:rFonts w:ascii="Arial" w:cs="Arial" w:eastAsia="Arial" w:hAnsi="Arial"/>
          <w:sz w:val="22"/>
          <w:szCs w:val="22"/>
          <w:color w:val="auto"/>
        </w:rPr>
        <w:t>”) and BioXcel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WHEREAS, the Company wishes to retain Executive as its Senior Vice President, Chief Commercial Officer commencing on January 17, 2022, or such earlier date as determined by the parties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w:t>
      </w:r>
    </w:p>
    <w:p>
      <w:pPr>
        <w:spacing w:after="0" w:line="186"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WHEREAS, the Company wishes to secure the services of Executive upon the terms and conditions hereinafter set forth, and Executive wishes to render such services to the Company upon the terms and conditions hereinafter set forth.</w:t>
      </w:r>
    </w:p>
    <w:p>
      <w:pPr>
        <w:spacing w:after="0" w:line="186"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NOW, THEREFORE, in consideration of the foregoing and the mutual covenants herein contained and for other good and valuable consideration, the receipt and adequacy of which are hereby acknowledged, the parties hereto, intending to be legally bound, agree as follows: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200" w:right="219" w:firstLine="657"/>
        <w:spacing w:after="0" w:line="263" w:lineRule="auto"/>
        <w:tabs>
          <w:tab w:leader="none" w:pos="149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shall have the following meanings:</w:t>
      </w:r>
    </w:p>
    <w:p>
      <w:pPr>
        <w:spacing w:after="0" w:line="161" w:lineRule="exact"/>
        <w:rPr>
          <w:rFonts w:ascii="Arial" w:cs="Arial" w:eastAsia="Arial" w:hAnsi="Arial"/>
          <w:sz w:val="22"/>
          <w:szCs w:val="22"/>
          <w:color w:val="auto"/>
        </w:rPr>
      </w:pPr>
    </w:p>
    <w:p>
      <w:pPr>
        <w:jc w:val="both"/>
        <w:ind w:left="200" w:right="219" w:firstLine="1305"/>
        <w:spacing w:after="0" w:line="269" w:lineRule="auto"/>
        <w:tabs>
          <w:tab w:leader="none" w:pos="2144"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any of the following: (i) a material breach or material default (including, without limitation, any material dereliction of duty) by Executive of this Agreement or any agreement between Executive and the Company, or a repeated failure by Executive to follow the direction of the Company; (ii) Executive’s gross negligence, willful misfeasance or breach of fiduciary duty to the Company or its affiliates; (iii) the commission by Executive of an act or omission involving fraud, embezzlement, misappropriation or dishonesty in connection with Executive’s duties to the Company or its affiliates or that is otherwise likely to be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materially  injurious  to  the  business  or  reputation  of  the  Company  or  its  affiliates;  or</w:t>
      </w:r>
    </w:p>
    <w:p>
      <w:pPr>
        <w:spacing w:after="0" w:line="2" w:lineRule="exact"/>
        <w:rPr>
          <w:sz w:val="20"/>
          <w:szCs w:val="20"/>
          <w:color w:val="auto"/>
        </w:rPr>
      </w:pPr>
    </w:p>
    <w:p>
      <w:pPr>
        <w:jc w:val="both"/>
        <w:ind w:left="200" w:right="219" w:firstLine="9"/>
        <w:spacing w:after="0" w:line="270" w:lineRule="auto"/>
        <w:tabs>
          <w:tab w:leader="none" w:pos="574"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Executive’s conviction of, indictment for, or pleading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or other crime involving fraud or moral turpitude. For purposes of this subsection, no act or failure to act on Executive’s part shall be considered “willful” unless done, or omitted to be done, by Executive not in good faith and without reasonable belief that Executive’s action or omission was in the best interest of the Company. Any determination of whether Cause exists shall be made by the Company in its sole and absolute discretion. Provided, however, that before a termination for Cause pursuant to Section 1(a)(iii) or (iv) is effective, Executive will be given written notice of the particular circumstances constituting the basis for the termination for Cause and thirty (30) calendar days to cure those particular circumstances (the “</w:t>
      </w:r>
      <w:r>
        <w:rPr>
          <w:rFonts w:ascii="Arial" w:cs="Arial" w:eastAsia="Arial" w:hAnsi="Arial"/>
          <w:sz w:val="19"/>
          <w:szCs w:val="19"/>
          <w:u w:val="single" w:color="auto"/>
          <w:color w:val="auto"/>
        </w:rPr>
        <w:t>Executive’s Cure Period</w:t>
      </w:r>
      <w:r>
        <w:rPr>
          <w:rFonts w:ascii="Arial" w:cs="Arial" w:eastAsia="Arial" w:hAnsi="Arial"/>
          <w:sz w:val="19"/>
          <w:szCs w:val="19"/>
          <w:color w:val="auto"/>
        </w:rPr>
        <w:t>”). Any determination as to whether Executive successfully cured the circumstances at issue shall be made by the Company in its sole and absolute discretion. Failing such cure, Executive’s termination for Cause pursuant to Section 1(a)(iii) or (iv) shall be effective on the day immediately following the expiration of Executive’s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0" w:name="page131"/>
    <w:bookmarkEnd w:id="130"/>
    <w:p>
      <w:pPr>
        <w:ind w:left="1500"/>
        <w:spacing w:after="0"/>
        <w:tabs>
          <w:tab w:leader="none" w:pos="21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shall mean the occurrence of any of the following</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events:</w:t>
      </w:r>
    </w:p>
    <w:p>
      <w:pPr>
        <w:spacing w:after="0" w:line="188" w:lineRule="exact"/>
        <w:rPr>
          <w:sz w:val="20"/>
          <w:szCs w:val="20"/>
          <w:color w:val="auto"/>
        </w:rPr>
      </w:pPr>
    </w:p>
    <w:p>
      <w:pPr>
        <w:jc w:val="both"/>
        <w:ind w:left="200" w:right="219" w:firstLine="1953"/>
        <w:spacing w:after="0" w:line="236" w:lineRule="auto"/>
        <w:tabs>
          <w:tab w:leader="none" w:pos="279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date on which any “person” (as such term is used in Sections 13(d) and 14(d)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obtains “beneficial ownership” (as defined in Rule 13d-3 of the Exchange Act) or a pecuniary interest in fifty percent (50%) or more of the combined voting power of the Company’s then outstanding securities (“</w:t>
      </w:r>
      <w:r>
        <w:rPr>
          <w:rFonts w:ascii="Arial" w:cs="Arial" w:eastAsia="Arial" w:hAnsi="Arial"/>
          <w:sz w:val="22"/>
          <w:szCs w:val="22"/>
          <w:u w:val="single" w:color="auto"/>
          <w:color w:val="auto"/>
        </w:rPr>
        <w:t>Voting Stock</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200" w:right="219" w:firstLine="1953"/>
        <w:spacing w:after="0" w:line="245" w:lineRule="auto"/>
        <w:tabs>
          <w:tab w:leader="none" w:pos="2792"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consummation of a merger, consolidation, reorganization, or similar transaction involving the Company, other than a transaction: (1) in which substantially all of the holders of the Voting Stock immediately prior to such transaction hold or receive directly or indirectly fifty percent (50%) or more of the voting stock of the resulting entity or a parent company thereof, in substantially the same proportions as their ownership of the Company immediately prior to the transaction; or (2) in which the holders of the Company’s capital stock immediately before such transaction will, immediately after such transaction, hold as a group on a fully diluted basis the ability to elect at least a majority of the authorized directors of the surviving entity (or a parent company); or</w:t>
      </w:r>
    </w:p>
    <w:p>
      <w:pPr>
        <w:spacing w:after="0" w:line="184" w:lineRule="exact"/>
        <w:rPr>
          <w:rFonts w:ascii="Arial" w:cs="Arial" w:eastAsia="Arial" w:hAnsi="Arial"/>
          <w:sz w:val="21"/>
          <w:szCs w:val="21"/>
          <w:color w:val="auto"/>
        </w:rPr>
      </w:pPr>
    </w:p>
    <w:p>
      <w:pPr>
        <w:jc w:val="both"/>
        <w:ind w:left="200" w:right="219" w:firstLine="1953"/>
        <w:spacing w:after="0" w:line="234" w:lineRule="auto"/>
        <w:tabs>
          <w:tab w:leader="none" w:pos="279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there is consummated a sale, lease, license or disposition of all or substantially all of the consolidated assets of the Company and its subsidiaries, other than a sale, lease, license or disposition of all or substantially all of the consolidated assets of the Company and its subsidiaries to an entity, fifty percent (50%) or more of the combined voting power of the voting securities of which are owned by stockholders of the Company in substantially the same proportions as their ownership of the Company immediately prior to such sale, lease, license or disposition.</w:t>
      </w:r>
    </w:p>
    <w:p>
      <w:pPr>
        <w:spacing w:after="0" w:line="190" w:lineRule="exact"/>
        <w:rPr>
          <w:rFonts w:ascii="Arial" w:cs="Arial" w:eastAsia="Arial" w:hAnsi="Arial"/>
          <w:sz w:val="22"/>
          <w:szCs w:val="22"/>
          <w:color w:val="auto"/>
        </w:rPr>
      </w:pPr>
    </w:p>
    <w:p>
      <w:pPr>
        <w:jc w:val="both"/>
        <w:ind w:left="200" w:right="219" w:firstLine="1305"/>
        <w:spacing w:after="0" w:line="297" w:lineRule="auto"/>
        <w:tabs>
          <w:tab w:leader="none" w:pos="2144"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a physical or mental disability, which prevents Executive from performing Executive’s duties under this Agreement for a period of at least 120 consecutive days in any twelve-month period or 150 non-consecutive days in any twelve-month period.</w:t>
      </w:r>
    </w:p>
    <w:p>
      <w:pPr>
        <w:spacing w:after="0" w:line="133" w:lineRule="exact"/>
        <w:rPr>
          <w:rFonts w:ascii="Arial" w:cs="Arial" w:eastAsia="Arial" w:hAnsi="Arial"/>
          <w:sz w:val="19"/>
          <w:szCs w:val="19"/>
          <w:color w:val="auto"/>
        </w:rPr>
      </w:pPr>
    </w:p>
    <w:p>
      <w:pPr>
        <w:jc w:val="both"/>
        <w:ind w:left="200" w:right="219" w:firstLine="1305"/>
        <w:spacing w:after="0" w:line="272" w:lineRule="auto"/>
        <w:tabs>
          <w:tab w:leader="none" w:pos="2144"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Executive’s express written consent any of the following: (i) a significant reduction of Executive’s duties, position or responsibilities relative to Executive’s duties, position or responsibilities in effect immediately prior to such reduction, or the removal of Executive from such position, duties or responsibilities; or (ii) any action or inaction that constitutes a material breach by the Company or any successor to the Company of its obligations to Executive under this Agreement. Provided, however, that before a termination for Good Reason is effective, Executive will provide the Company with written notice of the particular circumstances constituting the basis for Executive’s termination with Good Reason within sixty (60) calendar days of the occurrence of the event giving rise to Good Reason and thirty (30) calendar days to cure (to the extent curable) these particular circumstances (the “</w:t>
      </w:r>
      <w:r>
        <w:rPr>
          <w:rFonts w:ascii="Arial" w:cs="Arial" w:eastAsia="Arial" w:hAnsi="Arial"/>
          <w:sz w:val="19"/>
          <w:szCs w:val="19"/>
          <w:u w:val="single" w:color="auto"/>
          <w:color w:val="auto"/>
        </w:rPr>
        <w:t>Company’s Cure Period</w:t>
      </w:r>
      <w:r>
        <w:rPr>
          <w:rFonts w:ascii="Arial" w:cs="Arial" w:eastAsia="Arial" w:hAnsi="Arial"/>
          <w:sz w:val="19"/>
          <w:szCs w:val="19"/>
          <w:color w:val="auto"/>
        </w:rPr>
        <w:t>”). Failing such cure, Executive’s termination of employment for Good Reason shall be effective on the day immediately following the expiration of the Company’s Cure Period.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1" w:name="page132"/>
    <w:bookmarkEnd w:id="131"/>
    <w:p>
      <w:pPr>
        <w:jc w:val="both"/>
        <w:ind w:left="200" w:right="219" w:firstLine="657"/>
        <w:spacing w:after="0" w:line="286" w:lineRule="auto"/>
        <w:tabs>
          <w:tab w:leader="none" w:pos="149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Duties and Scope of Position</w:t>
      </w:r>
      <w:r>
        <w:rPr>
          <w:rFonts w:ascii="Arial" w:cs="Arial" w:eastAsia="Arial" w:hAnsi="Arial"/>
          <w:sz w:val="19"/>
          <w:szCs w:val="19"/>
          <w:color w:val="auto"/>
        </w:rPr>
        <w:t>. During the Employment Term (as defined below), Executive will serve as Senior Vice President, Chief Commercial Officer of the Company, reporting to the Chief Executive Officer of the Company, and assuming and discharging such responsibilities as are commensurate with Executive’s position. During the Employment Term, Executive will provide services in a manner that will faithfully and diligently further the business of the Company and will devote all of Executive’s business time, attention and energy thereto. Executive’s primary place of work shall be the Company’s principal place of business in Connecticut; provided, however, that the Company acknowledges and agrees that Executive may work at Executive’s home office located in Berwyn, Pennsylvania or such other location(s) agreed upon in writing by the Chief Executive Officer as long as Executive spends a substantial amount of time at the Company’s principal place of business in Connecticut. Executive may not serve as a director on any entity’s board of directors without prior written consent of the Company, which consent may be withheld by the Company in its sole and absolute discretion.</w:t>
      </w:r>
    </w:p>
    <w:p>
      <w:pPr>
        <w:spacing w:after="0" w:line="165" w:lineRule="exact"/>
        <w:rPr>
          <w:rFonts w:ascii="Arial" w:cs="Arial" w:eastAsia="Arial" w:hAnsi="Arial"/>
          <w:sz w:val="19"/>
          <w:szCs w:val="19"/>
          <w:color w:val="auto"/>
        </w:rPr>
      </w:pPr>
    </w:p>
    <w:p>
      <w:pPr>
        <w:jc w:val="both"/>
        <w:ind w:left="200" w:right="219" w:firstLine="657"/>
        <w:spacing w:after="0" w:line="258" w:lineRule="auto"/>
        <w:tabs>
          <w:tab w:leader="none" w:pos="1496"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Employment Term</w:t>
      </w:r>
      <w:r>
        <w:rPr>
          <w:rFonts w:ascii="Arial" w:cs="Arial" w:eastAsia="Arial" w:hAnsi="Arial"/>
          <w:sz w:val="21"/>
          <w:szCs w:val="21"/>
          <w:color w:val="auto"/>
        </w:rPr>
        <w:t>. The term of Executive’s employment under this Agreement shall commence on the Effective Date and shall continue for a period of two (2) years thereafter, unless earlier terminated in accordance with Section 7 hereof. The term of Executive’s employment shall be automatically renewed for successive one (1) year periods until Executive or the Company delivers to the other party a written notice of their intent not to renew the “Employment Term,” such written notice to be delivered at least ninety (90) days prior to the expiration of the then-effective “Employment Term” (as that term is defined below). The period commencing as of the Effective Date and ending two (2) years from the Effective Date or such later date to which the term of Executive’s employment under this Agreement shall have been extended is referred to herein as the “</w:t>
      </w:r>
      <w:r>
        <w:rPr>
          <w:rFonts w:ascii="Arial" w:cs="Arial" w:eastAsia="Arial" w:hAnsi="Arial"/>
          <w:sz w:val="21"/>
          <w:szCs w:val="21"/>
          <w:u w:val="single" w:color="auto"/>
          <w:color w:val="auto"/>
        </w:rPr>
        <w:t>Employment Term</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left="200" w:right="219" w:firstLine="657"/>
        <w:spacing w:after="0" w:line="290" w:lineRule="auto"/>
        <w:tabs>
          <w:tab w:leader="none" w:pos="149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Base Compensation</w:t>
      </w:r>
      <w:r>
        <w:rPr>
          <w:rFonts w:ascii="Arial" w:cs="Arial" w:eastAsia="Arial" w:hAnsi="Arial"/>
          <w:sz w:val="19"/>
          <w:szCs w:val="19"/>
          <w:color w:val="auto"/>
        </w:rPr>
        <w:t>. During the Employment Term, the Company shall pay to Executive a base compensation (the “</w:t>
      </w:r>
      <w:r>
        <w:rPr>
          <w:rFonts w:ascii="Arial" w:cs="Arial" w:eastAsia="Arial" w:hAnsi="Arial"/>
          <w:sz w:val="19"/>
          <w:szCs w:val="19"/>
          <w:u w:val="single" w:color="auto"/>
          <w:color w:val="auto"/>
        </w:rPr>
        <w:t>Base Compensation</w:t>
      </w:r>
      <w:r>
        <w:rPr>
          <w:rFonts w:ascii="Arial" w:cs="Arial" w:eastAsia="Arial" w:hAnsi="Arial"/>
          <w:sz w:val="19"/>
          <w:szCs w:val="19"/>
          <w:color w:val="auto"/>
        </w:rPr>
        <w:t>”) of $ 420,000.00 per year (prorated for any partial year), payable in accordance with the Company’s regular payroll practices and shall be subject to all applicable tax withholdings and deductions. The Company shall review Executive’s performance from time to time for purposes of, among other things, determining the appropriateness of increasing or decreasing Executive’s Base Compensation hereunder. For purposes of the Agreement, the term “</w:t>
      </w:r>
      <w:r>
        <w:rPr>
          <w:rFonts w:ascii="Arial" w:cs="Arial" w:eastAsia="Arial" w:hAnsi="Arial"/>
          <w:sz w:val="19"/>
          <w:szCs w:val="19"/>
          <w:u w:val="single" w:color="auto"/>
          <w:color w:val="auto"/>
        </w:rPr>
        <w:t>Base Compensation</w:t>
      </w:r>
      <w:r>
        <w:rPr>
          <w:rFonts w:ascii="Arial" w:cs="Arial" w:eastAsia="Arial" w:hAnsi="Arial"/>
          <w:sz w:val="19"/>
          <w:szCs w:val="19"/>
          <w:color w:val="auto"/>
        </w:rPr>
        <w:t>” as of any point in time shall refer to the Base Compensation as adjusted pursuant to this Section 4.</w:t>
      </w:r>
    </w:p>
    <w:p>
      <w:pPr>
        <w:spacing w:after="0" w:line="155" w:lineRule="exact"/>
        <w:rPr>
          <w:rFonts w:ascii="Arial" w:cs="Arial" w:eastAsia="Arial" w:hAnsi="Arial"/>
          <w:sz w:val="19"/>
          <w:szCs w:val="19"/>
          <w:color w:val="auto"/>
        </w:rPr>
      </w:pPr>
    </w:p>
    <w:p>
      <w:pPr>
        <w:jc w:val="both"/>
        <w:ind w:left="200" w:right="219" w:firstLine="657"/>
        <w:spacing w:after="0" w:line="286" w:lineRule="auto"/>
        <w:tabs>
          <w:tab w:leader="none" w:pos="149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Employment Term and beginning in calendar year 2022, Executive may be eligible to receive an annual bonus (the “</w:t>
      </w:r>
      <w:r>
        <w:rPr>
          <w:rFonts w:ascii="Arial" w:cs="Arial" w:eastAsia="Arial" w:hAnsi="Arial"/>
          <w:sz w:val="19"/>
          <w:szCs w:val="19"/>
          <w:u w:val="single" w:color="auto"/>
          <w:color w:val="auto"/>
        </w:rPr>
        <w:t>Bonus</w:t>
      </w:r>
      <w:r>
        <w:rPr>
          <w:rFonts w:ascii="Arial" w:cs="Arial" w:eastAsia="Arial" w:hAnsi="Arial"/>
          <w:sz w:val="19"/>
          <w:szCs w:val="19"/>
          <w:color w:val="auto"/>
        </w:rPr>
        <w:t>”) targeted at 40% of Base Compensation. The actual amount of such Bonus, if any, will be determined by the Board of Directors of the Company or an authorized committee thereof (in either case, the “</w:t>
      </w:r>
      <w:r>
        <w:rPr>
          <w:rFonts w:ascii="Arial" w:cs="Arial" w:eastAsia="Arial" w:hAnsi="Arial"/>
          <w:sz w:val="19"/>
          <w:szCs w:val="19"/>
          <w:u w:val="single" w:color="auto"/>
          <w:color w:val="auto"/>
        </w:rPr>
        <w:t>Board</w:t>
      </w:r>
      <w:r>
        <w:rPr>
          <w:rFonts w:ascii="Arial" w:cs="Arial" w:eastAsia="Arial" w:hAnsi="Arial"/>
          <w:sz w:val="19"/>
          <w:szCs w:val="19"/>
          <w:color w:val="auto"/>
        </w:rPr>
        <w:t>”) in its sole and absolute discretion based upon, among other things, the Company’s achievement of performance milestones for each fiscal year (in each case, the “</w:t>
      </w:r>
      <w:r>
        <w:rPr>
          <w:rFonts w:ascii="Arial" w:cs="Arial" w:eastAsia="Arial" w:hAnsi="Arial"/>
          <w:sz w:val="19"/>
          <w:szCs w:val="19"/>
          <w:u w:val="single" w:color="auto"/>
          <w:color w:val="auto"/>
        </w:rPr>
        <w:t>Target Year</w:t>
      </w:r>
      <w:r>
        <w:rPr>
          <w:rFonts w:ascii="Arial" w:cs="Arial" w:eastAsia="Arial" w:hAnsi="Arial"/>
          <w:sz w:val="19"/>
          <w:szCs w:val="19"/>
          <w:color w:val="auto"/>
        </w:rPr>
        <w:t>”). The performance milestones referenced in this Section 5 for each Target Year shall be determined by the Board. The Bonus, if any, shall be paid no later than March 15 of the fiscal year immediately following the Target Year and will be pro-rated for Target Year 2022 based on the number of days Executive is employed by the Company in 2022. Executive must be continuously employed by the Company through the end of the Target Year for which the Bonus is calculated in order to receive such payment. In addition, except in the case of termination by the Company without Cause or due to Executive’s Disability, termination due to Executive’s death, or termination by the Executive for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32" w:name="page133"/>
    <w:bookmarkEnd w:id="132"/>
    <w:p>
      <w:pPr>
        <w:jc w:val="both"/>
        <w:ind w:left="200" w:right="219"/>
        <w:spacing w:after="0" w:line="250" w:lineRule="auto"/>
        <w:rPr>
          <w:sz w:val="20"/>
          <w:szCs w:val="20"/>
          <w:color w:val="auto"/>
        </w:rPr>
      </w:pPr>
      <w:r>
        <w:rPr>
          <w:rFonts w:ascii="Arial" w:cs="Arial" w:eastAsia="Arial" w:hAnsi="Arial"/>
          <w:sz w:val="22"/>
          <w:szCs w:val="22"/>
          <w:color w:val="auto"/>
        </w:rPr>
        <w:t>Good Reason, Executive must be employed by the Company on the Bonus payment date in order to be eligible for any such payment. For purposes of clarity, upon a termination by the Company for Cause or Executive’s termination without Good Reason, Executive will not be eligible to receive any Bonus.</w:t>
      </w:r>
    </w:p>
    <w:p>
      <w:pPr>
        <w:spacing w:after="0" w:line="188" w:lineRule="exact"/>
        <w:rPr>
          <w:sz w:val="20"/>
          <w:szCs w:val="20"/>
          <w:color w:val="auto"/>
        </w:rPr>
      </w:pPr>
    </w:p>
    <w:p>
      <w:pPr>
        <w:ind w:left="1500" w:hanging="64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Equity; Benefits; Vacation Days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305"/>
        <w:spacing w:after="0" w:line="245" w:lineRule="auto"/>
        <w:tabs>
          <w:tab w:leader="none" w:pos="2144"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Option</w:t>
      </w:r>
      <w:r>
        <w:rPr>
          <w:rFonts w:ascii="Arial" w:cs="Arial" w:eastAsia="Arial" w:hAnsi="Arial"/>
          <w:sz w:val="21"/>
          <w:szCs w:val="21"/>
          <w:color w:val="auto"/>
        </w:rPr>
        <w:t>. On or as soon as practicable following the Effective Date, Executive will be granted an option to purchase 85,000 shares of common stock of the Company with an exercise price per share equal to the closing price per share of the Company’s common stock on the date of grant or the last trading day preceding the date of grant if the date of grant is not a trading day (the “</w:t>
      </w:r>
      <w:r>
        <w:rPr>
          <w:rFonts w:ascii="Arial" w:cs="Arial" w:eastAsia="Arial" w:hAnsi="Arial"/>
          <w:sz w:val="21"/>
          <w:szCs w:val="21"/>
          <w:u w:val="single" w:color="auto"/>
          <w:color w:val="auto"/>
        </w:rPr>
        <w:t>Option</w:t>
      </w:r>
      <w:r>
        <w:rPr>
          <w:rFonts w:ascii="Arial" w:cs="Arial" w:eastAsia="Arial" w:hAnsi="Arial"/>
          <w:sz w:val="21"/>
          <w:szCs w:val="21"/>
          <w:color w:val="auto"/>
        </w:rPr>
        <w:t>”). Subject to Executive’s continued employment with the Company, the Option shall vest over a four-year period, with 25% vesting on the first anniversary of the Effective Date and the remaining 75% vesting in 36 equal monthly installments following the first anniversary of the Effective Date. The Option will be subject to the terms of the Company’s equity incentive plan under which it is granted and the applicable award agreement evidencing such award.</w:t>
      </w:r>
    </w:p>
    <w:p>
      <w:pPr>
        <w:spacing w:after="0" w:line="180" w:lineRule="exact"/>
        <w:rPr>
          <w:rFonts w:ascii="Arial" w:cs="Arial" w:eastAsia="Arial" w:hAnsi="Arial"/>
          <w:sz w:val="21"/>
          <w:szCs w:val="21"/>
          <w:color w:val="auto"/>
        </w:rPr>
      </w:pPr>
    </w:p>
    <w:p>
      <w:pPr>
        <w:jc w:val="both"/>
        <w:ind w:left="200" w:right="219" w:firstLine="1305"/>
        <w:spacing w:after="0" w:line="273" w:lineRule="auto"/>
        <w:tabs>
          <w:tab w:leader="none" w:pos="2144"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Employment Term, Executive shall be entitled to participate in all employee benefit plans and programs that the Company decides, in its sole and absolute discretion, to make available to the Company’s senior level executives as a group or to its employees generally, consistent with the terms thereof and as such plans or programs may be in effect from time to time. With respect to business travel, the Company shall reimburse Executive for all reasonable expenses, train, personal auto mileage and tolls, car service and hotel, for all trips to the Company’s principal place of business in Connecticut pursuant to the Company’s travel and expense reimbursement policies. Executive will submit an expense report in the form consistent with Company practice and the Company will pay Executive within thirty (30) days thereafter</w:t>
      </w:r>
      <w:r>
        <w:rPr>
          <w:rFonts w:ascii="Arial" w:cs="Arial" w:eastAsia="Arial" w:hAnsi="Arial"/>
          <w:sz w:val="17"/>
          <w:szCs w:val="17"/>
          <w:color w:val="auto"/>
        </w:rPr>
        <w:t>.</w:t>
      </w:r>
      <w:r>
        <w:rPr>
          <w:rFonts w:ascii="Arial" w:cs="Arial" w:eastAsia="Arial" w:hAnsi="Arial"/>
          <w:sz w:val="19"/>
          <w:szCs w:val="19"/>
          <w:color w:val="auto"/>
        </w:rPr>
        <w:t xml:space="preserve"> In no event shall Executive be eligible to participate in any severance plan or program of the Company, except as set forth in Section 8 of this Agreement.</w:t>
      </w:r>
    </w:p>
    <w:p>
      <w:pPr>
        <w:spacing w:after="0" w:line="155" w:lineRule="exact"/>
        <w:rPr>
          <w:rFonts w:ascii="Arial" w:cs="Arial" w:eastAsia="Arial" w:hAnsi="Arial"/>
          <w:sz w:val="19"/>
          <w:szCs w:val="19"/>
          <w:color w:val="auto"/>
        </w:rPr>
      </w:pPr>
    </w:p>
    <w:p>
      <w:pPr>
        <w:jc w:val="both"/>
        <w:ind w:left="200" w:right="219" w:firstLine="1305"/>
        <w:spacing w:after="0" w:line="234" w:lineRule="auto"/>
        <w:tabs>
          <w:tab w:leader="none" w:pos="2144"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Employment Term, Executive shall be entitled to twenty (20) vacation days per year (pro-rated for 2022 based on the number of days Executive is employed by the Company), as well as holidays, sick days and personal days in accordance with the Company’s policies, as such policies may be amended from time to time. Any unused vacation, holiday, sick or personal days earned in one calendar year may not be used in any subsequent calendar year. Upon the termination of the Executive’s employment with the Company, no cash shall be paid in lieu of accrued but unused vacation, holiday, sick or personal days.</w:t>
      </w:r>
    </w:p>
    <w:p>
      <w:pPr>
        <w:spacing w:after="0" w:line="200" w:lineRule="exact"/>
        <w:rPr>
          <w:rFonts w:ascii="Arial" w:cs="Arial" w:eastAsia="Arial" w:hAnsi="Arial"/>
          <w:sz w:val="22"/>
          <w:szCs w:val="22"/>
          <w:color w:val="auto"/>
        </w:rPr>
      </w:pPr>
    </w:p>
    <w:p>
      <w:pPr>
        <w:ind w:left="1500" w:hanging="64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305"/>
        <w:spacing w:after="0" w:line="282" w:lineRule="auto"/>
        <w:tabs>
          <w:tab w:leader="none" w:pos="2144"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w:t>
      </w:r>
      <w:r>
        <w:rPr>
          <w:rFonts w:ascii="Arial" w:cs="Arial" w:eastAsia="Arial" w:hAnsi="Arial"/>
          <w:sz w:val="19"/>
          <w:szCs w:val="19"/>
          <w:color w:val="auto"/>
        </w:rPr>
        <w:t>. The Company may terminate Executive’s employment immediately for Cause. Provided, however, that if the Company seeks to terminate Executive’s employment for Cause as defined in Section 1(a)(iii) or (iv), then Executive’s termination shall not be effective until the day immediately following the expiration of the Executive’s Cure Period. Except as otherwise set forth in Section 7(c) below, the Company must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33" w:name="page134"/>
    <w:bookmarkEnd w:id="133"/>
    <w:p>
      <w:pPr>
        <w:ind w:left="200" w:right="239"/>
        <w:spacing w:after="0" w:line="251" w:lineRule="auto"/>
        <w:rPr>
          <w:sz w:val="20"/>
          <w:szCs w:val="20"/>
          <w:color w:val="auto"/>
        </w:rPr>
      </w:pPr>
      <w:r>
        <w:rPr>
          <w:rFonts w:ascii="Arial" w:cs="Arial" w:eastAsia="Arial" w:hAnsi="Arial"/>
          <w:sz w:val="22"/>
          <w:szCs w:val="22"/>
          <w:color w:val="auto"/>
        </w:rPr>
        <w:t>provide Executive with thirty (30) days advance written notice of its decision to terminate Executive’s employment without Cause.</w:t>
      </w:r>
    </w:p>
    <w:p>
      <w:pPr>
        <w:spacing w:after="0" w:line="173" w:lineRule="exact"/>
        <w:rPr>
          <w:sz w:val="20"/>
          <w:szCs w:val="20"/>
          <w:color w:val="auto"/>
        </w:rPr>
      </w:pPr>
    </w:p>
    <w:p>
      <w:pPr>
        <w:jc w:val="both"/>
        <w:ind w:left="200" w:right="219" w:firstLine="1305"/>
        <w:spacing w:after="0" w:line="245" w:lineRule="auto"/>
        <w:tabs>
          <w:tab w:leader="none" w:pos="2144" w:val="left"/>
        </w:tabs>
        <w:numPr>
          <w:ilvl w:val="2"/>
          <w:numId w:val="63"/>
        </w:numPr>
        <w:rPr>
          <w:rFonts w:ascii="Arial" w:cs="Arial" w:eastAsia="Arial" w:hAnsi="Arial"/>
          <w:sz w:val="21"/>
          <w:szCs w:val="21"/>
          <w:color w:val="auto"/>
        </w:rPr>
      </w:pPr>
      <w:r>
        <w:rPr>
          <w:rFonts w:ascii="Arial" w:cs="Arial" w:eastAsia="Arial" w:hAnsi="Arial"/>
          <w:sz w:val="21"/>
          <w:szCs w:val="21"/>
          <w:u w:val="single" w:color="auto"/>
          <w:color w:val="auto"/>
        </w:rPr>
        <w:t>Termination by Executive</w:t>
      </w:r>
      <w:r>
        <w:rPr>
          <w:rFonts w:ascii="Arial" w:cs="Arial" w:eastAsia="Arial" w:hAnsi="Arial"/>
          <w:sz w:val="21"/>
          <w:szCs w:val="21"/>
          <w:color w:val="auto"/>
        </w:rPr>
        <w:t>. Executive may terminate Executive’s employment for Good Reason, provided that, if Executive seeks to terminate Executive’s employment for Good Reason, then such termination for Good Reason shall not be effective until the day immediately following the expiration of the Company’s Cure Period. Executive must provide the Company with ninety (90) days advance written notice of Executive’s decision to terminate Executive’s employment without Good Reason. Following its receipt of Executive’s advance written notice of Executive’s decision to terminate Executive’s employment without Good Reason, the Company may, in its sole and absolute discretion, decide to render Executive’s termination without Good Reason effective at any time prior to the expiration of the ninety (90) day notice period set forth in this Section 7(b).</w:t>
      </w:r>
    </w:p>
    <w:p>
      <w:pPr>
        <w:spacing w:after="0" w:line="180" w:lineRule="exact"/>
        <w:rPr>
          <w:rFonts w:ascii="Arial" w:cs="Arial" w:eastAsia="Arial" w:hAnsi="Arial"/>
          <w:sz w:val="21"/>
          <w:szCs w:val="21"/>
          <w:color w:val="auto"/>
        </w:rPr>
      </w:pPr>
    </w:p>
    <w:p>
      <w:pPr>
        <w:jc w:val="both"/>
        <w:ind w:left="200" w:right="219" w:firstLine="1305"/>
        <w:spacing w:after="0" w:line="276" w:lineRule="auto"/>
        <w:tabs>
          <w:tab w:leader="none" w:pos="2144" w:val="left"/>
        </w:tabs>
        <w:numPr>
          <w:ilvl w:val="2"/>
          <w:numId w:val="63"/>
        </w:numPr>
        <w:rPr>
          <w:rFonts w:ascii="Arial" w:cs="Arial" w:eastAsia="Arial" w:hAnsi="Arial"/>
          <w:sz w:val="19"/>
          <w:szCs w:val="19"/>
          <w:color w:val="auto"/>
        </w:rPr>
      </w:pPr>
      <w:r>
        <w:rPr>
          <w:rFonts w:ascii="Arial" w:cs="Arial" w:eastAsia="Arial" w:hAnsi="Arial"/>
          <w:sz w:val="19"/>
          <w:szCs w:val="19"/>
          <w:u w:val="single" w:color="auto"/>
          <w:color w:val="auto"/>
        </w:rPr>
        <w:t>Termination for Death or Disability</w:t>
      </w:r>
      <w:r>
        <w:rPr>
          <w:rFonts w:ascii="Arial" w:cs="Arial" w:eastAsia="Arial" w:hAnsi="Arial"/>
          <w:sz w:val="19"/>
          <w:szCs w:val="19"/>
          <w:color w:val="auto"/>
        </w:rPr>
        <w:t>. Executive’s employment shall terminate automatically upon Executive’s death. The Company must provide Executive with ten</w:t>
      </w:r>
    </w:p>
    <w:p>
      <w:pPr>
        <w:spacing w:after="0" w:line="1" w:lineRule="exact"/>
        <w:rPr>
          <w:rFonts w:ascii="Arial" w:cs="Arial" w:eastAsia="Arial" w:hAnsi="Arial"/>
          <w:sz w:val="19"/>
          <w:szCs w:val="19"/>
          <w:color w:val="auto"/>
        </w:rPr>
      </w:pPr>
    </w:p>
    <w:p>
      <w:pPr>
        <w:ind w:left="200" w:right="239" w:firstLine="9"/>
        <w:spacing w:after="0" w:line="236" w:lineRule="auto"/>
        <w:tabs>
          <w:tab w:leader="none" w:pos="618" w:val="left"/>
        </w:tabs>
        <w:numPr>
          <w:ilvl w:val="0"/>
          <w:numId w:val="64"/>
        </w:numPr>
        <w:rPr>
          <w:rFonts w:ascii="Arial" w:cs="Arial" w:eastAsia="Arial" w:hAnsi="Arial"/>
          <w:sz w:val="22"/>
          <w:szCs w:val="22"/>
          <w:color w:val="auto"/>
        </w:rPr>
      </w:pPr>
      <w:r>
        <w:rPr>
          <w:rFonts w:ascii="Arial" w:cs="Arial" w:eastAsia="Arial" w:hAnsi="Arial"/>
          <w:sz w:val="22"/>
          <w:szCs w:val="22"/>
          <w:color w:val="auto"/>
        </w:rPr>
        <w:t>days advance written notice of its decision to terminate Executive’s employment as a result of Executive’s Disability.</w:t>
      </w:r>
    </w:p>
    <w:p>
      <w:pPr>
        <w:spacing w:after="0" w:line="186" w:lineRule="exact"/>
        <w:rPr>
          <w:rFonts w:ascii="Arial" w:cs="Arial" w:eastAsia="Arial" w:hAnsi="Arial"/>
          <w:sz w:val="22"/>
          <w:szCs w:val="22"/>
          <w:color w:val="auto"/>
        </w:rPr>
      </w:pPr>
    </w:p>
    <w:p>
      <w:pPr>
        <w:jc w:val="both"/>
        <w:ind w:left="200" w:right="219" w:firstLine="1305"/>
        <w:spacing w:after="0"/>
        <w:tabs>
          <w:tab w:leader="none" w:pos="2144" w:val="left"/>
        </w:tabs>
        <w:numPr>
          <w:ilvl w:val="2"/>
          <w:numId w:val="64"/>
        </w:numPr>
        <w:rPr>
          <w:rFonts w:ascii="Arial" w:cs="Arial" w:eastAsia="Arial" w:hAnsi="Arial"/>
          <w:sz w:val="22"/>
          <w:szCs w:val="22"/>
          <w:color w:val="auto"/>
        </w:rPr>
      </w:pPr>
      <w:r>
        <w:rPr>
          <w:rFonts w:ascii="Arial" w:cs="Arial" w:eastAsia="Arial" w:hAnsi="Arial"/>
          <w:sz w:val="22"/>
          <w:szCs w:val="22"/>
          <w:u w:val="single" w:color="auto"/>
          <w:color w:val="auto"/>
        </w:rPr>
        <w:t>Deemed Resignation</w:t>
      </w:r>
      <w:r>
        <w:rPr>
          <w:rFonts w:ascii="Arial" w:cs="Arial" w:eastAsia="Arial" w:hAnsi="Arial"/>
          <w:sz w:val="22"/>
          <w:szCs w:val="22"/>
          <w:color w:val="auto"/>
        </w:rPr>
        <w:t>. Upon termination of Executive’s employment for any reason, Executive shall be deemed to have resigned from all offices and directorships, if any, then held with the Company or any of its subsidiaries.</w:t>
      </w:r>
    </w:p>
    <w:p>
      <w:pPr>
        <w:spacing w:after="0" w:line="199" w:lineRule="exact"/>
        <w:rPr>
          <w:rFonts w:ascii="Arial" w:cs="Arial" w:eastAsia="Arial" w:hAnsi="Arial"/>
          <w:sz w:val="22"/>
          <w:szCs w:val="22"/>
          <w:color w:val="auto"/>
        </w:rPr>
      </w:pPr>
    </w:p>
    <w:p>
      <w:pPr>
        <w:ind w:left="1500" w:hanging="643"/>
        <w:spacing w:after="0"/>
        <w:tabs>
          <w:tab w:leader="none" w:pos="150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305"/>
        <w:spacing w:after="0" w:line="270" w:lineRule="auto"/>
        <w:tabs>
          <w:tab w:leader="none" w:pos="2144" w:val="left"/>
        </w:tabs>
        <w:numPr>
          <w:ilvl w:val="2"/>
          <w:numId w:val="65"/>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 Death or Disability or by Executive Without Good Reason</w:t>
      </w:r>
      <w:r>
        <w:rPr>
          <w:rFonts w:ascii="Arial" w:cs="Arial" w:eastAsia="Arial" w:hAnsi="Arial"/>
          <w:sz w:val="19"/>
          <w:szCs w:val="19"/>
          <w:color w:val="auto"/>
        </w:rPr>
        <w:t>. In the event that Executive’s employment hereunder is terminated: (i) by the Company for Cause; (ii) as a result of Executive’s death or by the Company due to Executive’s Disability; (iii) by Executive without Good Reason; or (iv) as a result of either the Company or Executive providing the other with notice of its intent not to renew the Employment Term pursuant to Section 3, then the Company shall pay to Executive (or in the case of death, Executive’s estate)</w:t>
      </w:r>
    </w:p>
    <w:p>
      <w:pPr>
        <w:spacing w:after="0" w:line="1" w:lineRule="exact"/>
        <w:rPr>
          <w:rFonts w:ascii="Arial" w:cs="Arial" w:eastAsia="Arial" w:hAnsi="Arial"/>
          <w:sz w:val="19"/>
          <w:szCs w:val="19"/>
          <w:color w:val="auto"/>
        </w:rPr>
      </w:pPr>
    </w:p>
    <w:p>
      <w:pPr>
        <w:jc w:val="both"/>
        <w:ind w:left="200" w:right="219"/>
        <w:spacing w:after="0" w:line="270" w:lineRule="auto"/>
        <w:rPr>
          <w:rFonts w:ascii="Arial" w:cs="Arial" w:eastAsia="Arial" w:hAnsi="Arial"/>
          <w:sz w:val="19"/>
          <w:szCs w:val="19"/>
          <w:color w:val="auto"/>
        </w:rPr>
      </w:pPr>
      <w:r>
        <w:rPr>
          <w:rFonts w:ascii="Arial" w:cs="Arial" w:eastAsia="Arial" w:hAnsi="Arial"/>
          <w:sz w:val="19"/>
          <w:szCs w:val="19"/>
          <w:color w:val="auto"/>
        </w:rPr>
        <w:t>(x) any portion of Executive’s unpaid Base Compensation then due for periods prior to the effective date of Executive’s termination; and (y) any vested amounts accrued and arising from Executive’s participation in, or vested benefits accrued under any employee benefit plans, programs or arrangements, which amounts shall be payable in accordance with the terms and conditions of such employee benefit plans, programs or arrangements. In addition, the Company shall reimburse Executive for all expenses reasonably and necessarily incurred by Executive in connection with the business of the Company prior to the effective date of termination, provided that Executive (or Executive’s estate) submit proper expense reports to the Company no later than fourteen (14) days after the effective date of Executive’s termination. Except as otherwise expressly required by law (e.g.,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4" w:lineRule="exact"/>
        <w:rPr>
          <w:rFonts w:ascii="Arial" w:cs="Arial" w:eastAsia="Arial" w:hAnsi="Arial"/>
          <w:sz w:val="19"/>
          <w:szCs w:val="19"/>
          <w:color w:val="auto"/>
        </w:rPr>
      </w:pPr>
    </w:p>
    <w:p>
      <w:pPr>
        <w:jc w:val="both"/>
        <w:ind w:left="200" w:right="219" w:firstLine="1305"/>
        <w:spacing w:after="0" w:line="297" w:lineRule="auto"/>
        <w:tabs>
          <w:tab w:leader="none" w:pos="2144" w:val="left"/>
        </w:tabs>
        <w:numPr>
          <w:ilvl w:val="2"/>
          <w:numId w:val="65"/>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Executive With Good Reason</w:t>
      </w:r>
      <w:r>
        <w:rPr>
          <w:rFonts w:ascii="Arial" w:cs="Arial" w:eastAsia="Arial" w:hAnsi="Arial"/>
          <w:sz w:val="19"/>
          <w:szCs w:val="19"/>
          <w:color w:val="auto"/>
        </w:rPr>
        <w:t>. In the event that Executive’s employment hereunder is terminated by the Company without Cause or by Executive with Good Reason, then the Company shall provide Executive with</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4" w:name="page135"/>
    <w:bookmarkEnd w:id="134"/>
    <w:p>
      <w:pPr>
        <w:jc w:val="both"/>
        <w:ind w:left="200" w:right="219"/>
        <w:spacing w:after="0" w:line="268" w:lineRule="auto"/>
        <w:rPr>
          <w:sz w:val="20"/>
          <w:szCs w:val="20"/>
          <w:color w:val="auto"/>
        </w:rPr>
      </w:pPr>
      <w:r>
        <w:rPr>
          <w:rFonts w:ascii="Arial" w:cs="Arial" w:eastAsia="Arial" w:hAnsi="Arial"/>
          <w:sz w:val="19"/>
          <w:szCs w:val="19"/>
          <w:color w:val="auto"/>
        </w:rPr>
        <w:t>the same payments and benefits set forth in Section 8(a). Further, provided Executive timely executes a general release of all claims against the Company in a form acceptable to the Company (a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the Release becomes effective within 60 days following the date of Executive’s termination, then Executive shall also receive: (i)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Bonus for the Target Year in which Executive’s termination became effective, payable on the same date that bonuses are payable to other executives of the Company in the year following such Target Year; (ii) continued payment of Executive’s Base Compensation during the nine (9) month period immediately following Executive’s termination on the Company’s regularly scheduled payroll dates and (iii) reimbursement for Executive’s payment of COBRA premiums under the Company’s medical benefit plan during the nine (9) month period immediately following Executive’s termination; provided, however, that if the 60 day period for the Release to become effective begins in one calendar year and ends in a second calendar year, the first installment of the payments made under</w:t>
      </w:r>
    </w:p>
    <w:p>
      <w:pPr>
        <w:spacing w:after="0" w:line="7" w:lineRule="exact"/>
        <w:rPr>
          <w:sz w:val="20"/>
          <w:szCs w:val="20"/>
          <w:color w:val="auto"/>
        </w:rPr>
      </w:pPr>
    </w:p>
    <w:p>
      <w:pPr>
        <w:ind w:left="200" w:right="239" w:firstLine="9"/>
        <w:spacing w:after="0" w:line="236" w:lineRule="auto"/>
        <w:tabs>
          <w:tab w:leader="none" w:pos="521" w:val="left"/>
        </w:tabs>
        <w:numPr>
          <w:ilvl w:val="0"/>
          <w:numId w:val="66"/>
        </w:numPr>
        <w:rPr>
          <w:rFonts w:ascii="Arial" w:cs="Arial" w:eastAsia="Arial" w:hAnsi="Arial"/>
          <w:sz w:val="22"/>
          <w:szCs w:val="22"/>
          <w:color w:val="auto"/>
        </w:rPr>
      </w:pPr>
      <w:r>
        <w:rPr>
          <w:rFonts w:ascii="Arial" w:cs="Arial" w:eastAsia="Arial" w:hAnsi="Arial"/>
          <w:sz w:val="22"/>
          <w:szCs w:val="22"/>
          <w:color w:val="auto"/>
        </w:rPr>
        <w:t>hereof shall not be paid until the second calendar year and shall include all amounts that would have been paid prior to such date if such delay had not applied.</w:t>
      </w:r>
    </w:p>
    <w:p>
      <w:pPr>
        <w:spacing w:after="0" w:line="186" w:lineRule="exact"/>
        <w:rPr>
          <w:rFonts w:ascii="Arial" w:cs="Arial" w:eastAsia="Arial" w:hAnsi="Arial"/>
          <w:sz w:val="22"/>
          <w:szCs w:val="22"/>
          <w:color w:val="auto"/>
        </w:rPr>
      </w:pPr>
    </w:p>
    <w:p>
      <w:pPr>
        <w:jc w:val="both"/>
        <w:ind w:left="200" w:right="219" w:firstLine="1305"/>
        <w:spacing w:after="0" w:line="273" w:lineRule="auto"/>
        <w:tabs>
          <w:tab w:leader="none" w:pos="214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Termination Prior to a Change of Control</w:t>
      </w:r>
      <w:r>
        <w:rPr>
          <w:rFonts w:ascii="Arial" w:cs="Arial" w:eastAsia="Arial" w:hAnsi="Arial"/>
          <w:sz w:val="19"/>
          <w:szCs w:val="19"/>
          <w:color w:val="auto"/>
        </w:rPr>
        <w:t>. In the event that the Company terminates Executive’s employment without Cause or Executive terminates Executive’s employment with Good Reason and a Change of Control is consummated no more than six</w:t>
      </w:r>
    </w:p>
    <w:p>
      <w:pPr>
        <w:spacing w:after="0" w:line="1" w:lineRule="exact"/>
        <w:rPr>
          <w:rFonts w:ascii="Arial" w:cs="Arial" w:eastAsia="Arial" w:hAnsi="Arial"/>
          <w:sz w:val="19"/>
          <w:szCs w:val="19"/>
          <w:color w:val="auto"/>
        </w:rPr>
      </w:pPr>
    </w:p>
    <w:p>
      <w:pPr>
        <w:jc w:val="both"/>
        <w:ind w:left="200" w:right="219"/>
        <w:spacing w:after="0" w:line="271" w:lineRule="auto"/>
        <w:rPr>
          <w:rFonts w:ascii="Arial" w:cs="Arial" w:eastAsia="Arial" w:hAnsi="Arial"/>
          <w:sz w:val="19"/>
          <w:szCs w:val="19"/>
          <w:color w:val="auto"/>
        </w:rPr>
      </w:pPr>
      <w:r>
        <w:rPr>
          <w:rFonts w:ascii="Arial" w:cs="Arial" w:eastAsia="Arial" w:hAnsi="Arial"/>
          <w:sz w:val="19"/>
          <w:szCs w:val="19"/>
          <w:color w:val="auto"/>
        </w:rPr>
        <w:t>(6) months following the effective date of Executive’s termination, then, in addition to the payments and benefits set forth in Section 8(b), Executive shall also receive a lump sum payment equal to six (6) months of Executive’s Base Compensation. In order to receive the payment set forth in this Section 8(c): (i) the Change of Control must have been Pending on the effective date of Executive’s termination; and (ii) Executive must execute the Release and the Release must become effective within 60 days following the date of Executive’s termination. The payment shall be made on the first regularly scheduled payroll date following the later of (x) the Change of Control, and (y) the effective date of the Release; provided, however, that if the 60-day period for the Release to become effective begins in one calendar year and ends in a second calendar year, the payment shall not be paid until the second calendar year.</w:t>
      </w:r>
    </w:p>
    <w:p>
      <w:pPr>
        <w:spacing w:after="0" w:line="160" w:lineRule="exact"/>
        <w:rPr>
          <w:rFonts w:ascii="Arial" w:cs="Arial" w:eastAsia="Arial" w:hAnsi="Arial"/>
          <w:sz w:val="19"/>
          <w:szCs w:val="19"/>
          <w:color w:val="auto"/>
        </w:rPr>
      </w:pPr>
    </w:p>
    <w:p>
      <w:pPr>
        <w:jc w:val="both"/>
        <w:ind w:left="200" w:right="219" w:firstLine="1305"/>
        <w:spacing w:after="0" w:line="270" w:lineRule="auto"/>
        <w:tabs>
          <w:tab w:leader="none" w:pos="214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Termination Subsequent to a Change of Control</w:t>
      </w:r>
      <w:r>
        <w:rPr>
          <w:rFonts w:ascii="Arial" w:cs="Arial" w:eastAsia="Arial" w:hAnsi="Arial"/>
          <w:sz w:val="19"/>
          <w:szCs w:val="19"/>
          <w:color w:val="auto"/>
        </w:rPr>
        <w:t>. In the event that the Company terminates Executive’s employment without Cause or Executive terminates Executive’s employment with Good Reason and a Change of Control is consummated no more than twelve (12) months prior to the effective date of Executive’s termination, then, in addition to the payments and benefits set forth in Section 8(b), Executive shall also receive a lump sum payment equal to six</w:t>
      </w:r>
    </w:p>
    <w:p>
      <w:pPr>
        <w:spacing w:after="0" w:line="4" w:lineRule="exact"/>
        <w:rPr>
          <w:rFonts w:ascii="Arial" w:cs="Arial" w:eastAsia="Arial" w:hAnsi="Arial"/>
          <w:sz w:val="19"/>
          <w:szCs w:val="19"/>
          <w:color w:val="auto"/>
        </w:rPr>
      </w:pPr>
    </w:p>
    <w:p>
      <w:pPr>
        <w:jc w:val="both"/>
        <w:ind w:left="200" w:right="219"/>
        <w:spacing w:after="0" w:line="275" w:lineRule="auto"/>
        <w:rPr>
          <w:rFonts w:ascii="Arial" w:cs="Arial" w:eastAsia="Arial" w:hAnsi="Arial"/>
          <w:sz w:val="19"/>
          <w:szCs w:val="19"/>
          <w:color w:val="auto"/>
        </w:rPr>
      </w:pPr>
      <w:r>
        <w:rPr>
          <w:rFonts w:ascii="Arial" w:cs="Arial" w:eastAsia="Arial" w:hAnsi="Arial"/>
          <w:sz w:val="19"/>
          <w:szCs w:val="19"/>
          <w:color w:val="auto"/>
        </w:rPr>
        <w:t>(6) months of Executive’s Base Compensation. In order to receive the payment set forth in this Section 8(d), Executive must execute the Release and the Release must become effective within 60 days following the date of Executive’s termination. The payment shall be made on the first regularly scheduled payroll date following the effective date of the Release; provided, however, that if the 60-day period for the Release to become effective begins in one calendar year and ends in a second calendar year, the payment shall not be paid until the second calendar year.</w:t>
      </w:r>
    </w:p>
    <w:p>
      <w:pPr>
        <w:spacing w:after="0" w:line="153" w:lineRule="exact"/>
        <w:rPr>
          <w:rFonts w:ascii="Arial" w:cs="Arial" w:eastAsia="Arial" w:hAnsi="Arial"/>
          <w:sz w:val="19"/>
          <w:szCs w:val="19"/>
          <w:color w:val="auto"/>
        </w:rPr>
      </w:pPr>
    </w:p>
    <w:p>
      <w:pPr>
        <w:jc w:val="both"/>
        <w:ind w:left="200" w:right="219" w:firstLine="1305"/>
        <w:spacing w:after="0" w:line="276" w:lineRule="auto"/>
        <w:tabs>
          <w:tab w:leader="none" w:pos="214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Definition of “Pending</w:t>
      </w:r>
      <w:r>
        <w:rPr>
          <w:rFonts w:ascii="Arial" w:cs="Arial" w:eastAsia="Arial" w:hAnsi="Arial"/>
          <w:sz w:val="19"/>
          <w:szCs w:val="19"/>
          <w:color w:val="auto"/>
        </w:rPr>
        <w:t>.” For purposes of Section 8(c), a Change of Control transaction shall be deemed to be “</w:t>
      </w:r>
      <w:r>
        <w:rPr>
          <w:rFonts w:ascii="Arial" w:cs="Arial" w:eastAsia="Arial" w:hAnsi="Arial"/>
          <w:sz w:val="19"/>
          <w:szCs w:val="19"/>
          <w:u w:val="single" w:color="auto"/>
          <w:color w:val="auto"/>
        </w:rPr>
        <w:t>Pending</w:t>
      </w:r>
      <w:r>
        <w:rPr>
          <w:rFonts w:ascii="Arial" w:cs="Arial" w:eastAsia="Arial" w:hAnsi="Arial"/>
          <w:sz w:val="19"/>
          <w:szCs w:val="19"/>
          <w:color w:val="auto"/>
        </w:rPr>
        <w:t>” each time any of the following circumstances exist:</w:t>
      </w:r>
    </w:p>
    <w:p>
      <w:pPr>
        <w:spacing w:after="0" w:line="1" w:lineRule="exact"/>
        <w:rPr>
          <w:rFonts w:ascii="Arial" w:cs="Arial" w:eastAsia="Arial" w:hAnsi="Arial"/>
          <w:sz w:val="19"/>
          <w:szCs w:val="19"/>
          <w:color w:val="auto"/>
        </w:rPr>
      </w:pPr>
    </w:p>
    <w:p>
      <w:pPr>
        <w:jc w:val="both"/>
        <w:ind w:left="200" w:right="219"/>
        <w:spacing w:after="0" w:line="287" w:lineRule="auto"/>
        <w:rPr>
          <w:rFonts w:ascii="Arial" w:cs="Arial" w:eastAsia="Arial" w:hAnsi="Arial"/>
          <w:sz w:val="19"/>
          <w:szCs w:val="19"/>
          <w:color w:val="auto"/>
        </w:rPr>
      </w:pPr>
      <w:r>
        <w:rPr>
          <w:rFonts w:ascii="Arial" w:cs="Arial" w:eastAsia="Arial" w:hAnsi="Arial"/>
          <w:sz w:val="19"/>
          <w:szCs w:val="19"/>
          <w:color w:val="auto"/>
        </w:rPr>
        <w:t>(A) the Company and a third party have entered into a confidentiality agreement that has been signed by a duly-authorized officer of the Company and that is related to a potential Change of Control transaction; or (B) the Company has received a written expression of interest from a third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5" w:name="page136"/>
    <w:bookmarkEnd w:id="135"/>
    <w:p>
      <w:pPr>
        <w:ind w:left="200" w:right="219"/>
        <w:spacing w:after="0" w:line="251" w:lineRule="auto"/>
        <w:rPr>
          <w:sz w:val="20"/>
          <w:szCs w:val="20"/>
          <w:color w:val="auto"/>
        </w:rPr>
      </w:pPr>
      <w:r>
        <w:rPr>
          <w:rFonts w:ascii="Arial" w:cs="Arial" w:eastAsia="Arial" w:hAnsi="Arial"/>
          <w:sz w:val="22"/>
          <w:szCs w:val="22"/>
          <w:color w:val="auto"/>
        </w:rPr>
        <w:t>party, including a binding or non-binding term sheet or letter of intent, related to a potential Change of Control transaction.</w:t>
      </w:r>
    </w:p>
    <w:p>
      <w:pPr>
        <w:spacing w:after="0" w:line="187" w:lineRule="exact"/>
        <w:rPr>
          <w:sz w:val="20"/>
          <w:szCs w:val="20"/>
          <w:color w:val="auto"/>
        </w:rPr>
      </w:pPr>
    </w:p>
    <w:p>
      <w:pPr>
        <w:jc w:val="both"/>
        <w:ind w:left="200" w:right="219" w:firstLine="657"/>
        <w:spacing w:after="0" w:line="250" w:lineRule="auto"/>
        <w:tabs>
          <w:tab w:leader="none" w:pos="14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Directors &amp; Officers Liability Insurance</w:t>
      </w:r>
      <w:r>
        <w:rPr>
          <w:rFonts w:ascii="Arial" w:cs="Arial" w:eastAsia="Arial" w:hAnsi="Arial"/>
          <w:sz w:val="22"/>
          <w:szCs w:val="22"/>
          <w:color w:val="auto"/>
        </w:rPr>
        <w:t>. The Company further agrees to maintain a directors and officers liability insurance policy covering Executive in an amount and on terms no less favorable to Executive than the coverage the Company provides other senior executives and directors.</w:t>
      </w:r>
    </w:p>
    <w:p>
      <w:pPr>
        <w:spacing w:after="0" w:line="187" w:lineRule="exact"/>
        <w:rPr>
          <w:rFonts w:ascii="Arial" w:cs="Arial" w:eastAsia="Arial" w:hAnsi="Arial"/>
          <w:sz w:val="22"/>
          <w:szCs w:val="22"/>
          <w:color w:val="auto"/>
        </w:rPr>
      </w:pPr>
    </w:p>
    <w:p>
      <w:pPr>
        <w:jc w:val="both"/>
        <w:ind w:left="200" w:right="219" w:firstLine="657"/>
        <w:spacing w:after="0" w:line="287" w:lineRule="auto"/>
        <w:tabs>
          <w:tab w:leader="none" w:pos="14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heirs and representatives of Executive and the assigns and successors of the Company, but neither this Agreement nor any rights or obligations hereunder shall be assignable or otherwise subject to hypothecation by Executive (except by will or by operation of the laws of intestate succession or by Executive notifying the Company that cash payment be made to an affiliated investment partnership in which Executive is a control person) or by Company, except that Company may assign this Agreement to any successor (whether by merger, purchase or otherwise) to all or substantially all of the stock, assets or businesses of Company, and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w:t>
      </w:r>
    </w:p>
    <w:p>
      <w:pPr>
        <w:spacing w:after="0" w:line="158" w:lineRule="exact"/>
        <w:rPr>
          <w:rFonts w:ascii="Arial" w:cs="Arial" w:eastAsia="Arial" w:hAnsi="Arial"/>
          <w:sz w:val="19"/>
          <w:szCs w:val="19"/>
          <w:color w:val="auto"/>
        </w:rPr>
      </w:pPr>
    </w:p>
    <w:p>
      <w:pPr>
        <w:jc w:val="both"/>
        <w:ind w:left="200" w:right="219" w:firstLine="657"/>
        <w:spacing w:after="0" w:line="294" w:lineRule="auto"/>
        <w:tabs>
          <w:tab w:leader="none" w:pos="14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Notices and all other communications contemplated by this Agreement shall be in writing and shall be deemed to have been duly given when personally delivered (if to the Company, addressed to its Secretary at the Company’s principal place of business on a non-holiday weekday between the hours of 9 a.m. and 5 p.m.; if to Executive, via personal service to Executive’s last known residence) or three business days following the date it is mailed by U.S. registered or certified mail, return receipt requested and postage prepaid.</w:t>
      </w:r>
    </w:p>
    <w:p>
      <w:pPr>
        <w:spacing w:after="0" w:line="149" w:lineRule="exact"/>
        <w:rPr>
          <w:rFonts w:ascii="Arial" w:cs="Arial" w:eastAsia="Arial" w:hAnsi="Arial"/>
          <w:sz w:val="19"/>
          <w:szCs w:val="19"/>
          <w:color w:val="auto"/>
        </w:rPr>
      </w:pPr>
    </w:p>
    <w:p>
      <w:pPr>
        <w:ind w:left="1500" w:hanging="643"/>
        <w:spacing w:after="0"/>
        <w:tabs>
          <w:tab w:leader="none" w:pos="15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Inventions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305"/>
        <w:spacing w:after="0" w:line="250" w:lineRule="auto"/>
        <w:tabs>
          <w:tab w:leader="none" w:pos="2144" w:val="left"/>
        </w:tabs>
        <w:numPr>
          <w:ilvl w:val="1"/>
          <w:numId w:val="67"/>
        </w:numPr>
        <w:rPr>
          <w:rFonts w:ascii="Arial" w:cs="Arial" w:eastAsia="Arial" w:hAnsi="Arial"/>
          <w:sz w:val="21"/>
          <w:szCs w:val="21"/>
          <w:color w:val="auto"/>
        </w:rPr>
      </w:pPr>
      <w:r>
        <w:rPr>
          <w:rFonts w:ascii="Arial" w:cs="Arial" w:eastAsia="Arial" w:hAnsi="Arial"/>
          <w:sz w:val="21"/>
          <w:szCs w:val="21"/>
          <w:color w:val="auto"/>
        </w:rPr>
        <w:t>Executive recognizes and acknowledges that by reason of Executive’s employment by and service to the Company before, during and, if applicable, after the</w:t>
      </w:r>
    </w:p>
    <w:p>
      <w:pPr>
        <w:spacing w:after="0" w:line="1"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color w:val="auto"/>
        </w:rPr>
        <w:t>Employment Term, Executive will have access to certain confidential and proprietary information relating to the business of the Company or its affiliates, which may include, but is not limited to, trade secrets, trade “know-how,” product development techniques and plans, formulas, customer lists and addresses, financing services, funding programs, cost and pricing information, marketing and sales techniques, strategy and programs, computer programs and software and financial information (collectively referred to herein as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acknowledges that such Confidential Information is a valuable and unique asset of the Company and its affiliates and Executive covenants that Executive will not, unless expressly authorized in writing by the Company, at any time during the course of Executive’s employment use any Confidential Information or divulge or disclose any Confidential Information to any person, firm or corporation except in connection with the performance of Executive’s duties for and on behalf of the Company and in a manner consistent with the policies of the Company or its affiliates regarding Confidential Information. Executive also covenants that at any time after the termination of such employment, directly or indirectly, Executive will not use any Confidential Information or divulge or disclose any Confidential Information to any person, firm or corporation, unless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6" w:name="page137"/>
    <w:bookmarkEnd w:id="136"/>
    <w:p>
      <w:pPr>
        <w:jc w:val="both"/>
        <w:ind w:left="200" w:right="219"/>
        <w:spacing w:after="0" w:line="271" w:lineRule="auto"/>
        <w:rPr>
          <w:sz w:val="20"/>
          <w:szCs w:val="20"/>
          <w:color w:val="auto"/>
        </w:rPr>
      </w:pPr>
      <w:r>
        <w:rPr>
          <w:rFonts w:ascii="Arial" w:cs="Arial" w:eastAsia="Arial" w:hAnsi="Arial"/>
          <w:sz w:val="19"/>
          <w:szCs w:val="19"/>
          <w:color w:val="auto"/>
        </w:rPr>
        <w:t>such information is in the public domain through no fault of Executive or except when required to do so by a court of law, by any governmental agency having supervisory authority over the business of the Company or its affiliates or by any administrative or legislative body (including a committee thereof) with apparent jurisdiction to order Executive to divulge, disclose or make accessible such information. All written Confidential Information (including, without limitation, in any computer or other electronic format) which comes into Executive’s possession during the course of Executive’s employment shall remain the property of the Company or its affiliates, as applicable. Unless expressly authorized in writing by the Company, Executive shall not remove any written Confidential Information from the premises of the Company or its affiliates, except in connection with the performance of Executive’s duties for and on behalf of the Company and in a manner consistent with the policies of the Company or its affiliates regarding Confidential Information. Upon termination of Executive’s employment, the Executive agrees to immediately return to the Company and its affiliates all written Confidential Information (including, without limitation, in any computer or other electronic format) in Executive’s possession.</w:t>
      </w:r>
    </w:p>
    <w:p>
      <w:pPr>
        <w:spacing w:after="0" w:line="165" w:lineRule="exact"/>
        <w:rPr>
          <w:sz w:val="20"/>
          <w:szCs w:val="20"/>
          <w:color w:val="auto"/>
        </w:rPr>
      </w:pPr>
    </w:p>
    <w:p>
      <w:pPr>
        <w:jc w:val="both"/>
        <w:ind w:left="200" w:right="219" w:firstLine="1305"/>
        <w:spacing w:after="0" w:line="269" w:lineRule="auto"/>
        <w:tabs>
          <w:tab w:leader="none" w:pos="2144"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Notwithstanding anything to the contrary herein, nothing in this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w:t>
      </w:r>
    </w:p>
    <w:p>
      <w:pPr>
        <w:spacing w:after="0" w:line="2" w:lineRule="exact"/>
        <w:rPr>
          <w:rFonts w:ascii="Arial" w:cs="Arial" w:eastAsia="Arial" w:hAnsi="Arial"/>
          <w:sz w:val="19"/>
          <w:szCs w:val="19"/>
          <w:color w:val="auto"/>
        </w:rPr>
      </w:pPr>
    </w:p>
    <w:p>
      <w:pPr>
        <w:jc w:val="both"/>
        <w:ind w:left="200" w:right="219" w:firstLine="9"/>
        <w:spacing w:after="0" w:line="243" w:lineRule="auto"/>
        <w:tabs>
          <w:tab w:leader="none" w:pos="567" w:val="left"/>
        </w:tabs>
        <w:numPr>
          <w:ilvl w:val="0"/>
          <w:numId w:val="69"/>
        </w:numPr>
        <w:rPr>
          <w:rFonts w:ascii="Arial" w:cs="Arial" w:eastAsia="Arial" w:hAnsi="Arial"/>
          <w:sz w:val="21"/>
          <w:szCs w:val="21"/>
          <w:color w:val="auto"/>
        </w:rPr>
      </w:pPr>
      <w:r>
        <w:rPr>
          <w:rFonts w:ascii="Arial" w:cs="Arial" w:eastAsia="Arial" w:hAnsi="Arial"/>
          <w:sz w:val="21"/>
          <w:szCs w:val="21"/>
          <w:color w:val="auto"/>
        </w:rPr>
        <w:t>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2" w:lineRule="exact"/>
        <w:rPr>
          <w:rFonts w:ascii="Arial" w:cs="Arial" w:eastAsia="Arial" w:hAnsi="Arial"/>
          <w:sz w:val="21"/>
          <w:szCs w:val="21"/>
          <w:color w:val="auto"/>
        </w:rPr>
      </w:pPr>
    </w:p>
    <w:p>
      <w:pPr>
        <w:jc w:val="both"/>
        <w:ind w:left="200" w:right="219" w:firstLine="1305"/>
        <w:spacing w:after="0" w:line="279" w:lineRule="auto"/>
        <w:tabs>
          <w:tab w:leader="none" w:pos="2144" w:val="left"/>
        </w:tabs>
        <w:numPr>
          <w:ilvl w:val="1"/>
          <w:numId w:val="69"/>
        </w:numPr>
        <w:rPr>
          <w:rFonts w:ascii="Arial" w:cs="Arial" w:eastAsia="Arial" w:hAnsi="Arial"/>
          <w:sz w:val="19"/>
          <w:szCs w:val="19"/>
          <w:color w:val="auto"/>
        </w:rPr>
      </w:pPr>
      <w:r>
        <w:rPr>
          <w:rFonts w:ascii="Arial" w:cs="Arial" w:eastAsia="Arial" w:hAnsi="Arial"/>
          <w:sz w:val="19"/>
          <w:szCs w:val="19"/>
          <w:color w:val="auto"/>
        </w:rPr>
        <w:t>During the Term, Executive agrees that Executive will not violate any restrictive covenant agreements that Executive entered into with any former employer or improperly make use of, or disclose, any information or trade secrets of any former employer or other third party, nor will Executive bring onto the premises of the Company or its affiliates or use any unpublished documents or any property belonging to any former employer or other third party, in violation of any lawful agreements with that former employer or third party.</w:t>
      </w:r>
    </w:p>
    <w:p>
      <w:pPr>
        <w:spacing w:after="0" w:line="150" w:lineRule="exact"/>
        <w:rPr>
          <w:rFonts w:ascii="Arial" w:cs="Arial" w:eastAsia="Arial" w:hAnsi="Arial"/>
          <w:sz w:val="19"/>
          <w:szCs w:val="19"/>
          <w:color w:val="auto"/>
        </w:rPr>
      </w:pPr>
    </w:p>
    <w:p>
      <w:pPr>
        <w:jc w:val="both"/>
        <w:ind w:left="200" w:right="219" w:firstLine="1305"/>
        <w:spacing w:after="0" w:line="279" w:lineRule="auto"/>
        <w:tabs>
          <w:tab w:leader="none" w:pos="2144" w:val="left"/>
        </w:tabs>
        <w:numPr>
          <w:ilvl w:val="1"/>
          <w:numId w:val="69"/>
        </w:numPr>
        <w:rPr>
          <w:rFonts w:ascii="Arial" w:cs="Arial" w:eastAsia="Arial" w:hAnsi="Arial"/>
          <w:sz w:val="19"/>
          <w:szCs w:val="19"/>
          <w:color w:val="auto"/>
        </w:rPr>
      </w:pPr>
      <w:r>
        <w:rPr>
          <w:rFonts w:ascii="Arial" w:cs="Arial" w:eastAsia="Arial" w:hAnsi="Arial"/>
          <w:sz w:val="19"/>
          <w:szCs w:val="19"/>
          <w:color w:val="auto"/>
        </w:rPr>
        <w:t>All rights to discoveries, inventions, improvements and innovations (including all data and records pertaining thereto) related to the business of the Company, whether or not patentable, copyrightable, registrable as a trademark, or reduced to writing, that Executive may discover, invent or originate during the Term, either alone or with others and whether or not during working hours or by the use of the facilities of the Company (“</w:t>
      </w:r>
      <w:r>
        <w:rPr>
          <w:rFonts w:ascii="Arial" w:cs="Arial" w:eastAsia="Arial" w:hAnsi="Arial"/>
          <w:sz w:val="19"/>
          <w:szCs w:val="19"/>
          <w:u w:val="single" w:color="auto"/>
          <w:color w:val="auto"/>
        </w:rPr>
        <w:t>Inventions</w:t>
      </w:r>
      <w:r>
        <w:rPr>
          <w:rFonts w:ascii="Arial" w:cs="Arial" w:eastAsia="Arial" w:hAnsi="Arial"/>
          <w:sz w:val="19"/>
          <w:szCs w:val="19"/>
          <w:color w:val="auto"/>
        </w:rPr>
        <w:t>”), shall be the exclusive property of the Company. Executive shall promptly disclose all Inventions to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7" w:name="page138"/>
    <w:bookmarkEnd w:id="137"/>
    <w:p>
      <w:pPr>
        <w:jc w:val="both"/>
        <w:ind w:left="200" w:right="219"/>
        <w:spacing w:after="0" w:line="279" w:lineRule="auto"/>
        <w:rPr>
          <w:sz w:val="20"/>
          <w:szCs w:val="20"/>
          <w:color w:val="auto"/>
        </w:rPr>
      </w:pPr>
      <w:r>
        <w:rPr>
          <w:rFonts w:ascii="Arial" w:cs="Arial" w:eastAsia="Arial" w:hAnsi="Arial"/>
          <w:sz w:val="19"/>
          <w:szCs w:val="19"/>
          <w:color w:val="auto"/>
        </w:rPr>
        <w:t>Company, shall execute at the request of the Company any assignments or other documents the Company may deem reasonably necessary to protect or perfect its rights therein, and shall assist the Company, upon reasonable request and at the Company’s expense, in obtaining, defending and enforcing the Company’s rights therein. Executive hereby appoints the Company as Executive’s attorney-in-fact to execute on Executive’s behalf any assignments or other documents reasonably deemed necessary by the Company to protect or perfect its rights to any Inventions.</w:t>
      </w:r>
    </w:p>
    <w:p>
      <w:pPr>
        <w:spacing w:after="0" w:line="164" w:lineRule="exact"/>
        <w:rPr>
          <w:sz w:val="20"/>
          <w:szCs w:val="20"/>
          <w:color w:val="auto"/>
        </w:rPr>
      </w:pPr>
    </w:p>
    <w:p>
      <w:pPr>
        <w:ind w:left="1500" w:hanging="643"/>
        <w:spacing w:after="0"/>
        <w:tabs>
          <w:tab w:leader="none" w:pos="15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305"/>
        <w:spacing w:after="0" w:line="270" w:lineRule="auto"/>
        <w:tabs>
          <w:tab w:leader="none" w:pos="2144"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Non-Compete</w:t>
      </w:r>
      <w:r>
        <w:rPr>
          <w:rFonts w:ascii="Arial" w:cs="Arial" w:eastAsia="Arial" w:hAnsi="Arial"/>
          <w:sz w:val="19"/>
          <w:szCs w:val="19"/>
          <w:color w:val="auto"/>
        </w:rPr>
        <w:t>. Executive hereby covenants and agrees that during the Employment Term and for a period of one (1) year following the termination of Executive’s employment, regardless of the reason for such termination, Executive will not, without the prior written consent of the Company, directly or indirectly, on Executive’s own behalf or in the service or on behalf of others, whether or not for compensation, engage in any business activity, or have any interest in any person, firm, corporation or business, through a subsidiary or parent entity or other entity (whether as a shareholder, agent, joint venturer, security holder, trustee, partner, Executive, creditor lending credit or money for the purpose of establishing or operating any such business, partner or otherwise) with any Competing Business in the Covered Area. For the purpose of this Section 13(a), “</w:t>
      </w:r>
      <w:r>
        <w:rPr>
          <w:rFonts w:ascii="Arial" w:cs="Arial" w:eastAsia="Arial" w:hAnsi="Arial"/>
          <w:sz w:val="19"/>
          <w:szCs w:val="19"/>
          <w:u w:val="single" w:color="auto"/>
          <w:color w:val="auto"/>
        </w:rPr>
        <w:t>Competing Business</w:t>
      </w:r>
      <w:r>
        <w:rPr>
          <w:rFonts w:ascii="Arial" w:cs="Arial" w:eastAsia="Arial" w:hAnsi="Arial"/>
          <w:sz w:val="19"/>
          <w:szCs w:val="19"/>
          <w:color w:val="auto"/>
        </w:rPr>
        <w:t>” means any business competing with any products and/or services of the Company or its affiliates that exist or are in the process of being actively developed or acquired as of or within the six-month period prior to the effective date of Executive’s termination. For the purpose of this Section 13(a), “</w:t>
      </w:r>
      <w:r>
        <w:rPr>
          <w:rFonts w:ascii="Arial" w:cs="Arial" w:eastAsia="Arial" w:hAnsi="Arial"/>
          <w:sz w:val="19"/>
          <w:szCs w:val="19"/>
          <w:u w:val="single" w:color="auto"/>
          <w:color w:val="auto"/>
        </w:rPr>
        <w:t>Covered Area</w:t>
      </w:r>
      <w:r>
        <w:rPr>
          <w:rFonts w:ascii="Arial" w:cs="Arial" w:eastAsia="Arial" w:hAnsi="Arial"/>
          <w:sz w:val="19"/>
          <w:szCs w:val="19"/>
          <w:color w:val="auto"/>
        </w:rPr>
        <w:t>” means all geographical areas of the United States and other foreign jurisdictions where the Company has offices and/or sells its products directly or indirectly through distributors and/or other sales agents. Notwithstanding the foregoing, Executive may own shares of companies whose securities are publicly traded, so long as ownership of such securities do not constitute more than one percent (1%) of the outstanding securities of any such company.</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left="200" w:right="219" w:firstLine="1305"/>
        <w:spacing w:after="0" w:line="275" w:lineRule="auto"/>
        <w:tabs>
          <w:tab w:leader="none" w:pos="2144"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Executive further agrees that during the Employment Term and for a period of one (1) year following the termination of Executive’s employment, regardless of the reason for such termination, Executive will not divert any business of the Company and/or its affiliates or any customers or suppliers of the Company and/or the Company’s and/or its affiliates’ business to any other person, entity or competitor, or induce or attempt to induce, directly or indirectly, any person to leave his or her employment with the Company and/or its affiliates; provided, however, that the foregoing provisions shall not apply to a general advertisement or solicitation program that is not specifically targeted at such employees.</w:t>
      </w:r>
    </w:p>
    <w:p>
      <w:pPr>
        <w:spacing w:after="0" w:line="157" w:lineRule="exact"/>
        <w:rPr>
          <w:rFonts w:ascii="Arial" w:cs="Arial" w:eastAsia="Arial" w:hAnsi="Arial"/>
          <w:sz w:val="19"/>
          <w:szCs w:val="19"/>
          <w:color w:val="auto"/>
        </w:rPr>
      </w:pPr>
    </w:p>
    <w:p>
      <w:pPr>
        <w:jc w:val="both"/>
        <w:ind w:left="200" w:right="219" w:firstLine="1305"/>
        <w:spacing w:after="0" w:line="273" w:lineRule="auto"/>
        <w:tabs>
          <w:tab w:leader="none" w:pos="2144"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Injunctive Relief; Modification</w:t>
      </w:r>
      <w:r>
        <w:rPr>
          <w:rFonts w:ascii="Arial" w:cs="Arial" w:eastAsia="Arial" w:hAnsi="Arial"/>
          <w:sz w:val="19"/>
          <w:szCs w:val="19"/>
          <w:color w:val="auto"/>
        </w:rPr>
        <w:t>. Executive acknowledges and agrees that Executive’s obligations provided herein are necessary and reasonable in order to protect the Company and its affiliates and their respective business and the Executive expressly agrees that monetary damages would be inadequate to compensate the Company and/or its affiliates for any breach by the Executive of Executive’s covenants and agreements set forth herein. Accordingly, Executive agrees and acknowledges that any such violation or threatened violation of Section 12 or 13 will cause irreparable injury to the Company and that, in addition to any other remedies that may be available, in law, in equity or otherwise, the Company and its affiliates shall be entitled to obtain injunctive relief against the threatened breach or the continuation of any such breach by the Executive of Section 12 or 13 without the necessity of proving actual damages. If, at the time of</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8" w:name="page139"/>
    <w:bookmarkEnd w:id="138"/>
    <w:p>
      <w:pPr>
        <w:jc w:val="both"/>
        <w:ind w:left="200" w:right="219"/>
        <w:spacing w:after="0" w:line="282" w:lineRule="auto"/>
        <w:rPr>
          <w:sz w:val="20"/>
          <w:szCs w:val="20"/>
          <w:color w:val="auto"/>
        </w:rPr>
      </w:pPr>
      <w:r>
        <w:rPr>
          <w:rFonts w:ascii="Arial" w:cs="Arial" w:eastAsia="Arial" w:hAnsi="Arial"/>
          <w:sz w:val="19"/>
          <w:szCs w:val="19"/>
          <w:color w:val="auto"/>
        </w:rPr>
        <w:t>enforcement of Sections 12 or 13, a court shall hold that the duration, scope or area restrictions stated therein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therein to cover the maximum period, scope and area permitted by law.</w:t>
      </w:r>
    </w:p>
    <w:p>
      <w:pPr>
        <w:spacing w:after="0" w:line="161" w:lineRule="exact"/>
        <w:rPr>
          <w:sz w:val="20"/>
          <w:szCs w:val="20"/>
          <w:color w:val="auto"/>
        </w:rPr>
      </w:pPr>
    </w:p>
    <w:p>
      <w:pPr>
        <w:ind w:left="1500" w:hanging="643"/>
        <w:spacing w:after="0"/>
        <w:tabs>
          <w:tab w:leader="none" w:pos="150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305"/>
        <w:spacing w:after="0" w:line="235" w:lineRule="auto"/>
        <w:tabs>
          <w:tab w:leader="none" w:pos="2144"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Modifications; No Waiver</w:t>
      </w:r>
      <w:r>
        <w:rPr>
          <w:rFonts w:ascii="Arial" w:cs="Arial" w:eastAsia="Arial" w:hAnsi="Arial"/>
          <w:sz w:val="22"/>
          <w:szCs w:val="22"/>
          <w:color w:val="auto"/>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7" w:lineRule="exact"/>
        <w:rPr>
          <w:rFonts w:ascii="Arial" w:cs="Arial" w:eastAsia="Arial" w:hAnsi="Arial"/>
          <w:sz w:val="22"/>
          <w:szCs w:val="22"/>
          <w:color w:val="auto"/>
        </w:rPr>
      </w:pPr>
    </w:p>
    <w:p>
      <w:pPr>
        <w:jc w:val="both"/>
        <w:ind w:left="200" w:right="239" w:firstLine="1305"/>
        <w:spacing w:after="0" w:line="257" w:lineRule="auto"/>
        <w:tabs>
          <w:tab w:leader="none" w:pos="2144" w:val="left"/>
        </w:tabs>
        <w:numPr>
          <w:ilvl w:val="1"/>
          <w:numId w:val="71"/>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supersedes all prior agreements and. No modification, termination or attempted waiver shall be valid unless in writing, signed by the party against whom such modification, termination or waiver is sought to be enforced.</w:t>
      </w:r>
    </w:p>
    <w:p>
      <w:pPr>
        <w:spacing w:after="0" w:line="169" w:lineRule="exact"/>
        <w:rPr>
          <w:rFonts w:ascii="Arial" w:cs="Arial" w:eastAsia="Arial" w:hAnsi="Arial"/>
          <w:sz w:val="21"/>
          <w:szCs w:val="21"/>
          <w:color w:val="auto"/>
        </w:rPr>
      </w:pPr>
    </w:p>
    <w:p>
      <w:pPr>
        <w:jc w:val="both"/>
        <w:ind w:left="200" w:right="219" w:firstLine="1305"/>
        <w:spacing w:after="0"/>
        <w:tabs>
          <w:tab w:leader="none" w:pos="2144"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shall be governed by the internal substantive laws, but not the conflicts of law rules, of the State of Connecticut.</w:t>
      </w:r>
    </w:p>
    <w:p>
      <w:pPr>
        <w:spacing w:after="0" w:line="186" w:lineRule="exact"/>
        <w:rPr>
          <w:rFonts w:ascii="Arial" w:cs="Arial" w:eastAsia="Arial" w:hAnsi="Arial"/>
          <w:sz w:val="22"/>
          <w:szCs w:val="22"/>
          <w:color w:val="auto"/>
        </w:rPr>
      </w:pPr>
    </w:p>
    <w:p>
      <w:pPr>
        <w:jc w:val="both"/>
        <w:ind w:left="200" w:right="219" w:firstLine="1305"/>
        <w:spacing w:after="0"/>
        <w:tabs>
          <w:tab w:leader="none" w:pos="2144"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86"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any one of which need not contain signatures of more than one party, and may be delivered by facsimile or other electronic means, but all of which shall be deemed originals and taken together will constitute one and the same Agreement.</w:t>
      </w:r>
    </w:p>
    <w:p>
      <w:pPr>
        <w:spacing w:after="0" w:line="184" w:lineRule="exact"/>
        <w:rPr>
          <w:rFonts w:ascii="Arial" w:cs="Arial" w:eastAsia="Arial" w:hAnsi="Arial"/>
          <w:sz w:val="22"/>
          <w:szCs w:val="22"/>
          <w:color w:val="auto"/>
        </w:rPr>
      </w:pPr>
    </w:p>
    <w:p>
      <w:pPr>
        <w:ind w:left="200" w:right="219" w:firstLine="1305"/>
        <w:spacing w:after="0" w:line="328" w:lineRule="auto"/>
        <w:tabs>
          <w:tab w:leader="none" w:pos="2144"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hereof are inserted for convenience only and shall not be deemed to constitute a part hereof nor to affect the meaning thereof.</w:t>
      </w:r>
    </w:p>
    <w:p>
      <w:pPr>
        <w:spacing w:after="0" w:line="104" w:lineRule="exact"/>
        <w:rPr>
          <w:rFonts w:ascii="Arial" w:cs="Arial" w:eastAsia="Arial" w:hAnsi="Arial"/>
          <w:sz w:val="19"/>
          <w:szCs w:val="19"/>
          <w:color w:val="auto"/>
        </w:rPr>
      </w:pPr>
    </w:p>
    <w:p>
      <w:pPr>
        <w:jc w:val="both"/>
        <w:ind w:left="200" w:right="219" w:firstLine="1305"/>
        <w:spacing w:after="0"/>
        <w:tabs>
          <w:tab w:leader="none" w:pos="2144"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Construction of Agreement</w:t>
      </w:r>
      <w:r>
        <w:rPr>
          <w:rFonts w:ascii="Arial" w:cs="Arial" w:eastAsia="Arial" w:hAnsi="Arial"/>
          <w:sz w:val="22"/>
          <w:szCs w:val="22"/>
          <w:color w:val="auto"/>
        </w:rPr>
        <w:t>. In the event of a conflict between the text of the Agreement and any summary, description or other information regarding the Agreement, the text of the Agreement shall control.</w:t>
      </w:r>
    </w:p>
    <w:p>
      <w:pPr>
        <w:spacing w:after="0" w:line="186"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from any amounts to be paid or benefits provided to Executive hereunder any federal, state, local or foreign withholding, FICA and FUTA contributions, or other taxes, charges or deductions which it is from time to time required to withhold.</w:t>
      </w:r>
    </w:p>
    <w:p>
      <w:pPr>
        <w:spacing w:after="0" w:line="184" w:lineRule="exact"/>
        <w:rPr>
          <w:rFonts w:ascii="Arial" w:cs="Arial" w:eastAsia="Arial" w:hAnsi="Arial"/>
          <w:sz w:val="22"/>
          <w:szCs w:val="22"/>
          <w:color w:val="auto"/>
        </w:rPr>
      </w:pPr>
    </w:p>
    <w:p>
      <w:pPr>
        <w:ind w:left="2160" w:hanging="655"/>
        <w:spacing w:after="0"/>
        <w:tabs>
          <w:tab w:leader="none" w:pos="216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239" w:firstLine="1953"/>
        <w:spacing w:after="0" w:line="328" w:lineRule="auto"/>
        <w:tabs>
          <w:tab w:leader="none" w:pos="2792" w:val="left"/>
        </w:tabs>
        <w:numPr>
          <w:ilvl w:val="2"/>
          <w:numId w:val="71"/>
        </w:numPr>
        <w:rPr>
          <w:rFonts w:ascii="Arial" w:cs="Arial" w:eastAsia="Arial" w:hAnsi="Arial"/>
          <w:sz w:val="19"/>
          <w:szCs w:val="19"/>
          <w:color w:val="auto"/>
        </w:rPr>
      </w:pPr>
      <w:r>
        <w:rPr>
          <w:rFonts w:ascii="Arial" w:cs="Arial" w:eastAsia="Arial" w:hAnsi="Arial"/>
          <w:sz w:val="19"/>
          <w:szCs w:val="19"/>
          <w:color w:val="auto"/>
        </w:rPr>
        <w:t>The parties agree that this Agreement shall be interpreted to comply with or be exempt from Section 409A of the Internal Revenue Code of 1986, as amended, and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9" w:name="page140"/>
    <w:bookmarkEnd w:id="139"/>
    <w:p>
      <w:pPr>
        <w:jc w:val="both"/>
        <w:ind w:left="200" w:right="219"/>
        <w:spacing w:after="0" w:line="249" w:lineRule="auto"/>
        <w:rPr>
          <w:sz w:val="20"/>
          <w:szCs w:val="20"/>
          <w:color w:val="auto"/>
        </w:rPr>
      </w:pPr>
      <w:r>
        <w:rPr>
          <w:rFonts w:ascii="Arial" w:cs="Arial" w:eastAsia="Arial" w:hAnsi="Arial"/>
          <w:sz w:val="21"/>
          <w:szCs w:val="21"/>
          <w:color w:val="auto"/>
        </w:rPr>
        <w:t>regulations and guidance promulgated thereunder (collectively “</w:t>
      </w:r>
      <w:r>
        <w:rPr>
          <w:rFonts w:ascii="Arial" w:cs="Arial" w:eastAsia="Arial" w:hAnsi="Arial"/>
          <w:sz w:val="21"/>
          <w:szCs w:val="21"/>
          <w:u w:val="single" w:color="auto"/>
          <w:color w:val="auto"/>
        </w:rPr>
        <w:t>Section 409A</w:t>
      </w:r>
      <w:r>
        <w:rPr>
          <w:rFonts w:ascii="Arial" w:cs="Arial" w:eastAsia="Arial" w:hAnsi="Arial"/>
          <w:sz w:val="21"/>
          <w:szCs w:val="21"/>
          <w:color w:val="auto"/>
        </w:rPr>
        <w:t>”), and all provisions of this Agreement shall be construed in a manner consistent with the requirements for avoiding taxes or penalties under Section 409A. In no event whatsoever will the Company be liable for any additional tax, interest or penalties that may be imposed on Executive under Section 409A or any damages for failing to comply with Section 409A.</w:t>
      </w:r>
    </w:p>
    <w:p>
      <w:pPr>
        <w:spacing w:after="0" w:line="179" w:lineRule="exact"/>
        <w:rPr>
          <w:sz w:val="20"/>
          <w:szCs w:val="20"/>
          <w:color w:val="auto"/>
        </w:rPr>
      </w:pPr>
    </w:p>
    <w:p>
      <w:pPr>
        <w:jc w:val="both"/>
        <w:ind w:left="200" w:right="219" w:firstLine="1953"/>
        <w:spacing w:after="0" w:line="270" w:lineRule="auto"/>
        <w:tabs>
          <w:tab w:leader="none" w:pos="2792"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termination of employment shall not be deemed to have occurred for purposes of any provision of this Agreement providing for the payment of any amounts or benefits considered “nonqualified deferred compensation” under Section 409A upon or following a termination of employment unless and until such termination is also a “separation from service” within the meaning of Section 409A and, for purposes of any such provision of this Agreement, references to a “</w:t>
      </w:r>
      <w:r>
        <w:rPr>
          <w:rFonts w:ascii="Arial" w:cs="Arial" w:eastAsia="Arial" w:hAnsi="Arial"/>
          <w:sz w:val="19"/>
          <w:szCs w:val="19"/>
          <w:u w:val="single" w:color="auto"/>
          <w:color w:val="auto"/>
        </w:rPr>
        <w:t>termination</w:t>
      </w:r>
      <w:r>
        <w:rPr>
          <w:rFonts w:ascii="Arial" w:cs="Arial" w:eastAsia="Arial" w:hAnsi="Arial"/>
          <w:sz w:val="19"/>
          <w:szCs w:val="19"/>
          <w:color w:val="auto"/>
        </w:rPr>
        <w:t>,”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or like terms shall mean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from service</w:t>
      </w:r>
      <w:r>
        <w:rPr>
          <w:rFonts w:ascii="Arial" w:cs="Arial" w:eastAsia="Arial" w:hAnsi="Arial"/>
          <w:sz w:val="19"/>
          <w:szCs w:val="19"/>
          <w:color w:val="auto"/>
        </w:rPr>
        <w: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such payment or benefit shall be made or provided at the date which is the earlier of (i) the expiration of the six (6)-month period measured from the date of such “separation from service” of Executive, and (ii) the date of Executive’s death (the “</w:t>
      </w:r>
      <w:r>
        <w:rPr>
          <w:rFonts w:ascii="Arial" w:cs="Arial" w:eastAsia="Arial" w:hAnsi="Arial"/>
          <w:sz w:val="19"/>
          <w:szCs w:val="19"/>
          <w:u w:val="single" w:color="auto"/>
          <w:color w:val="auto"/>
        </w:rPr>
        <w:t>Delay Period</w:t>
      </w:r>
      <w:r>
        <w:rPr>
          <w:rFonts w:ascii="Arial" w:cs="Arial" w:eastAsia="Arial" w:hAnsi="Arial"/>
          <w:sz w:val="19"/>
          <w:szCs w:val="19"/>
          <w:color w:val="auto"/>
        </w:rPr>
        <w:t>”). Upon the expiration of the Delay Period, all payments and benefits delayed pursuant to this Section 14(i)(ii) (whether they would have otherwise been payable in a single sum or in installments in the absence of such delay) shall be paid or reimbursed on the first business day following the expiration of the Delay Period to Executive in a lump sum and any remaining payments and benefits due under this Agreement shall be paid or provided in accordance with the normal payment dates specified for them herein.</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left="200" w:right="219" w:firstLine="1953"/>
        <w:spacing w:after="0" w:line="269" w:lineRule="auto"/>
        <w:tabs>
          <w:tab w:leader="none" w:pos="2792" w:val="left"/>
        </w:tabs>
        <w:numPr>
          <w:ilvl w:val="1"/>
          <w:numId w:val="72"/>
        </w:numPr>
        <w:rPr>
          <w:rFonts w:ascii="Arial" w:cs="Arial" w:eastAsia="Arial" w:hAnsi="Arial"/>
          <w:sz w:val="19"/>
          <w:szCs w:val="19"/>
          <w:color w:val="auto"/>
        </w:rPr>
      </w:pPr>
      <w:r>
        <w:rPr>
          <w:rFonts w:ascii="Arial" w:cs="Arial" w:eastAsia="Arial" w:hAnsi="Arial"/>
          <w:sz w:val="19"/>
          <w:szCs w:val="19"/>
          <w:color w:val="auto"/>
        </w:rPr>
        <w:t>With regard to any provision herein that provides for reimbursement of costs and expenses or in-kind benefits, except as permitted by Section 409A, (x) the right to reimbursement or in-kind benefits shall not be subject to liquidation or exchange for another benefit, (y) the amount of expenses eligible for reimbursement, or in-kind benefits, provided during any taxable year shall not affect the expenses eligible for reimbursement or in-kind benefits, to be provided in any other taxable year, provided, that, this clause (y) shall not be violated with regard to expenses reimbursed under any arrangement covered by Code Section 105(b) solely because such expenses are subject to a limit related to the period the arrangement is in effect and</w:t>
      </w:r>
    </w:p>
    <w:p>
      <w:pPr>
        <w:spacing w:after="0" w:line="2" w:lineRule="exact"/>
        <w:rPr>
          <w:rFonts w:ascii="Arial" w:cs="Arial" w:eastAsia="Arial" w:hAnsi="Arial"/>
          <w:sz w:val="19"/>
          <w:szCs w:val="19"/>
          <w:color w:val="auto"/>
        </w:rPr>
      </w:pPr>
    </w:p>
    <w:p>
      <w:pPr>
        <w:ind w:left="200" w:right="219" w:firstLine="9"/>
        <w:spacing w:after="0" w:line="236" w:lineRule="auto"/>
        <w:tabs>
          <w:tab w:leader="none" w:pos="495" w:val="left"/>
        </w:tabs>
        <w:numPr>
          <w:ilvl w:val="0"/>
          <w:numId w:val="73"/>
        </w:numPr>
        <w:rPr>
          <w:rFonts w:ascii="Arial" w:cs="Arial" w:eastAsia="Arial" w:hAnsi="Arial"/>
          <w:sz w:val="22"/>
          <w:szCs w:val="22"/>
          <w:color w:val="auto"/>
        </w:rPr>
      </w:pPr>
      <w:r>
        <w:rPr>
          <w:rFonts w:ascii="Arial" w:cs="Arial" w:eastAsia="Arial" w:hAnsi="Arial"/>
          <w:sz w:val="22"/>
          <w:szCs w:val="22"/>
          <w:color w:val="auto"/>
        </w:rPr>
        <w:t>such payments shall be made on or before the last day of Executive’s taxable year following the taxable year in which the expense occurred.</w:t>
      </w:r>
    </w:p>
    <w:p>
      <w:pPr>
        <w:spacing w:after="0" w:line="186" w:lineRule="exact"/>
        <w:rPr>
          <w:rFonts w:ascii="Arial" w:cs="Arial" w:eastAsia="Arial" w:hAnsi="Arial"/>
          <w:sz w:val="22"/>
          <w:szCs w:val="22"/>
          <w:color w:val="auto"/>
        </w:rPr>
      </w:pPr>
    </w:p>
    <w:p>
      <w:pPr>
        <w:jc w:val="both"/>
        <w:ind w:left="200" w:right="219" w:firstLine="1953"/>
        <w:spacing w:after="0" w:line="248" w:lineRule="auto"/>
        <w:tabs>
          <w:tab w:leader="none" w:pos="2792" w:val="left"/>
        </w:tabs>
        <w:numPr>
          <w:ilvl w:val="1"/>
          <w:numId w:val="73"/>
        </w:numPr>
        <w:rPr>
          <w:rFonts w:ascii="Arial" w:cs="Arial" w:eastAsia="Arial" w:hAnsi="Arial"/>
          <w:sz w:val="21"/>
          <w:szCs w:val="21"/>
          <w:color w:val="auto"/>
        </w:rPr>
      </w:pPr>
      <w:r>
        <w:rPr>
          <w:rFonts w:ascii="Arial" w:cs="Arial" w:eastAsia="Arial" w:hAnsi="Arial"/>
          <w:sz w:val="21"/>
          <w:szCs w:val="21"/>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0" w:name="page141"/>
    <w:bookmarkEnd w:id="140"/>
    <w:p>
      <w:pPr>
        <w:ind w:left="200" w:right="239" w:firstLine="648"/>
        <w:spacing w:after="0" w:line="251"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written above.</w:t>
      </w:r>
    </w:p>
    <w:p>
      <w:pPr>
        <w:spacing w:after="0" w:line="185"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BIOXCEL</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THERAPEUTICS, INC.</w:t>
      </w:r>
    </w:p>
    <w:p>
      <w:pPr>
        <w:spacing w:after="0" w:line="200" w:lineRule="exact"/>
        <w:rPr>
          <w:sz w:val="20"/>
          <w:szCs w:val="20"/>
          <w:color w:val="auto"/>
        </w:rPr>
      </w:pPr>
    </w:p>
    <w:p>
      <w:pPr>
        <w:spacing w:after="0" w:line="243" w:lineRule="exact"/>
        <w:rPr>
          <w:sz w:val="20"/>
          <w:szCs w:val="20"/>
          <w:color w:val="auto"/>
        </w:rPr>
      </w:pPr>
    </w:p>
    <w:p>
      <w:pPr>
        <w:ind w:left="4200"/>
        <w:spacing w:after="0"/>
        <w:tabs>
          <w:tab w:leader="none" w:pos="4700" w:val="left"/>
        </w:tabs>
        <w:rPr>
          <w:sz w:val="20"/>
          <w:szCs w:val="20"/>
          <w:color w:val="auto"/>
        </w:rPr>
      </w:pPr>
      <w:r>
        <w:rPr>
          <w:rFonts w:ascii="Arial" w:cs="Arial" w:eastAsia="Arial" w:hAnsi="Arial"/>
          <w:sz w:val="20"/>
          <w:szCs w:val="20"/>
          <w:color w:val="auto"/>
        </w:rPr>
        <w:t>By:</w:t>
        <w:tab/>
        <w:t>/s/ Vimal Mehta,</w:t>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0</wp:posOffset>
            </wp:positionV>
            <wp:extent cx="12769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ind w:left="4720"/>
        <w:spacing w:after="0"/>
        <w:tabs>
          <w:tab w:leader="none" w:pos="54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Vimal Mehta,</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Ph.D.</w:t>
      </w:r>
    </w:p>
    <w:p>
      <w:pPr>
        <w:ind w:left="4720"/>
        <w:spacing w:after="0"/>
        <w:tabs>
          <w:tab w:leader="none" w:pos="5420" w:val="left"/>
        </w:tabs>
        <w:rPr>
          <w:sz w:val="20"/>
          <w:szCs w:val="20"/>
          <w:color w:val="auto"/>
        </w:rPr>
      </w:pPr>
      <w:r>
        <w:rPr>
          <w:rFonts w:ascii="Arial" w:cs="Arial" w:eastAsia="Arial" w:hAnsi="Arial"/>
          <w:sz w:val="20"/>
          <w:szCs w:val="20"/>
          <w:color w:val="auto"/>
        </w:rPr>
        <w:t>Title:</w:t>
        <w:tab/>
        <w:t>Chief</w:t>
      </w:r>
    </w:p>
    <w:p>
      <w:pPr>
        <w:ind w:left="5440"/>
        <w:spacing w:after="0"/>
        <w:rPr>
          <w:sz w:val="20"/>
          <w:szCs w:val="20"/>
          <w:color w:val="auto"/>
        </w:rPr>
      </w:pPr>
      <w:r>
        <w:rPr>
          <w:rFonts w:ascii="Arial" w:cs="Arial" w:eastAsia="Arial" w:hAnsi="Arial"/>
          <w:sz w:val="20"/>
          <w:szCs w:val="20"/>
          <w:color w:val="auto"/>
        </w:rPr>
        <w:t>Executive</w:t>
      </w:r>
    </w:p>
    <w:p>
      <w:pPr>
        <w:ind w:left="544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77"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EXECUTIVE</w:t>
      </w:r>
    </w:p>
    <w:p>
      <w:pPr>
        <w:spacing w:after="0" w:line="24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Matthew T. Wiley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6985</wp:posOffset>
            </wp:positionV>
            <wp:extent cx="16116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Matthew T. Wiley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BioXcel Therapeutics, Inc.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2" w:name="page143"/>
    <w:bookmarkEnd w:id="142"/>
    <w:p>
      <w:pPr>
        <w:jc w:val="right"/>
        <w:ind w:right="2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440" w:hanging="252"/>
        <w:spacing w:after="0"/>
        <w:tabs>
          <w:tab w:leader="none" w:pos="1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S-3 No. 333-240118) of BioXcel Therapeutics, Inc., and</w:t>
      </w:r>
    </w:p>
    <w:p>
      <w:pPr>
        <w:spacing w:after="0" w:line="23" w:lineRule="exact"/>
        <w:rPr>
          <w:rFonts w:ascii="Arial" w:cs="Arial" w:eastAsia="Arial" w:hAnsi="Arial"/>
          <w:sz w:val="18"/>
          <w:szCs w:val="18"/>
          <w:color w:val="auto"/>
        </w:rPr>
      </w:pPr>
    </w:p>
    <w:p>
      <w:pPr>
        <w:jc w:val="both"/>
        <w:ind w:left="1180" w:right="219" w:firstLine="8"/>
        <w:spacing w:after="0" w:line="255" w:lineRule="auto"/>
        <w:tabs>
          <w:tab w:leader="none" w:pos="14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Statements (Form S-8 Nos. 333-235282 and 333-238580) pertaining to the 2017 Equity Incentive Plan and the 2020 Incentive Award Plan and 2020 Employee Stock Purchase Plan of BioXcel Therapeutics, Inc.</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of our report dated March 10, 2022, with respect to the financial statements of BioXcel Therapeutics, Inc.</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included in this Annual Report (Form 10-K) of BioXcel Therapeutics, Inc. for the year ended December 31, 2021.</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Stamford, Connecticut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494665</wp:posOffset>
            </wp:positionV>
            <wp:extent cx="5246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BioXcel Therapeutics, Inc.</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New Haven, CT</w:t>
      </w:r>
    </w:p>
    <w:p>
      <w:pPr>
        <w:spacing w:after="0" w:line="200" w:lineRule="exact"/>
        <w:rPr>
          <w:sz w:val="20"/>
          <w:szCs w:val="20"/>
          <w:color w:val="auto"/>
        </w:rPr>
      </w:pPr>
    </w:p>
    <w:p>
      <w:pPr>
        <w:spacing w:after="0" w:line="340" w:lineRule="exact"/>
        <w:rPr>
          <w:sz w:val="20"/>
          <w:szCs w:val="20"/>
          <w:color w:val="auto"/>
        </w:rPr>
      </w:pPr>
    </w:p>
    <w:p>
      <w:pPr>
        <w:ind w:left="200" w:right="219"/>
        <w:spacing w:after="0" w:line="256" w:lineRule="auto"/>
        <w:rPr>
          <w:sz w:val="20"/>
          <w:szCs w:val="20"/>
          <w:color w:val="auto"/>
        </w:rPr>
      </w:pPr>
      <w:r>
        <w:rPr>
          <w:rFonts w:ascii="Arial" w:cs="Arial" w:eastAsia="Arial" w:hAnsi="Arial"/>
          <w:sz w:val="20"/>
          <w:szCs w:val="20"/>
          <w:color w:val="auto"/>
        </w:rPr>
        <w:t>We hereby consent to the incorporation by reference in the Registration Statements on Form S-3 (No. 333-240118) and Form S-8 (Nos. 333-235282 and 333-238580) of BioXcel Therapeutics, Inc. of our report dated March 12, 2021, relating to the financial statements of BioXcel Therapeutics, Inc., which appear in this Annual Report on Form 10-K.</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 BDO USA, LLP</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Stamford, CT</w:t>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9" w:right="1440" w:bottom="1440" w:gutter="0" w:footer="0" w:header="0"/>
        </w:sectPr>
      </w:pPr>
    </w:p>
    <w:bookmarkStart w:id="144" w:name="page145"/>
    <w:bookmarkEnd w:id="144"/>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212" w:lineRule="exact"/>
        <w:rPr>
          <w:sz w:val="20"/>
          <w:szCs w:val="20"/>
          <w:color w:val="auto"/>
        </w:rPr>
      </w:pPr>
    </w:p>
    <w:p>
      <w:pPr>
        <w:ind w:left="540" w:right="759" w:hanging="318"/>
        <w:spacing w:after="0" w:line="277"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BioXcel Therapeutics, Inc.;</w:t>
      </w:r>
    </w:p>
    <w:p>
      <w:pPr>
        <w:spacing w:after="0" w:line="156" w:lineRule="exact"/>
        <w:rPr>
          <w:rFonts w:ascii="Arial" w:cs="Arial" w:eastAsia="Arial" w:hAnsi="Arial"/>
          <w:sz w:val="18"/>
          <w:szCs w:val="18"/>
          <w:color w:val="auto"/>
        </w:rPr>
      </w:pPr>
    </w:p>
    <w:p>
      <w:pPr>
        <w:ind w:left="540" w:right="459" w:hanging="318"/>
        <w:spacing w:after="0" w:line="263"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39" w:hanging="318"/>
        <w:spacing w:after="0" w:line="263"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59" w:hanging="318"/>
        <w:spacing w:after="0" w:line="311"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040" w:right="299" w:hanging="332"/>
        <w:spacing w:after="0" w:line="259"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040" w:right="299" w:hanging="332"/>
        <w:spacing w:after="0" w:line="259"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040" w:right="219" w:hanging="332"/>
        <w:spacing w:after="0" w:line="263"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040" w:right="279" w:hanging="332"/>
        <w:spacing w:after="0" w:line="259"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540" w:right="519" w:hanging="318"/>
        <w:spacing w:after="0" w:line="263"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040" w:right="279" w:hanging="332"/>
        <w:spacing w:after="0" w:line="263"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40" w:right="399" w:hanging="332"/>
        <w:spacing w:after="0" w:line="277"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Date: March 10, 2022</w:t>
            </w:r>
          </w:p>
        </w:tc>
        <w:tc>
          <w:tcPr>
            <w:tcW w:w="5660" w:type="dxa"/>
            <w:vAlign w:val="bottom"/>
            <w:gridSpan w:val="2"/>
          </w:tcPr>
          <w:p>
            <w:pPr>
              <w:ind w:left="136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5" w:name="page146"/>
    <w:bookmarkEnd w:id="145"/>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212" w:lineRule="exact"/>
        <w:rPr>
          <w:sz w:val="20"/>
          <w:szCs w:val="20"/>
          <w:color w:val="auto"/>
        </w:rPr>
      </w:pPr>
    </w:p>
    <w:p>
      <w:pPr>
        <w:ind w:left="540" w:right="759" w:hanging="318"/>
        <w:spacing w:after="0" w:line="277"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BioXcel Therapeutics, Inc.;</w:t>
      </w:r>
    </w:p>
    <w:p>
      <w:pPr>
        <w:spacing w:after="0" w:line="170" w:lineRule="exact"/>
        <w:rPr>
          <w:rFonts w:ascii="Arial" w:cs="Arial" w:eastAsia="Arial" w:hAnsi="Arial"/>
          <w:sz w:val="18"/>
          <w:szCs w:val="18"/>
          <w:color w:val="auto"/>
        </w:rPr>
      </w:pPr>
    </w:p>
    <w:p>
      <w:pPr>
        <w:ind w:left="540" w:right="459" w:hanging="318"/>
        <w:spacing w:after="0" w:line="26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39" w:hanging="318"/>
        <w:spacing w:after="0" w:line="26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59" w:hanging="318"/>
        <w:spacing w:after="0" w:line="311"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19" w:hanging="318"/>
        <w:spacing w:after="0" w:line="26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Date: March 10, 2022</w:t>
            </w:r>
          </w:p>
        </w:tc>
        <w:tc>
          <w:tcPr>
            <w:tcW w:w="5660" w:type="dxa"/>
            <w:vAlign w:val="bottom"/>
            <w:gridSpan w:val="2"/>
          </w:tcPr>
          <w:p>
            <w:pPr>
              <w:ind w:left="136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6" w:name="page147"/>
    <w:bookmarkEnd w:id="146"/>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279" w:firstLine="648"/>
        <w:spacing w:after="0" w:line="243" w:lineRule="auto"/>
        <w:rPr>
          <w:sz w:val="20"/>
          <w:szCs w:val="20"/>
          <w:color w:val="auto"/>
        </w:rPr>
      </w:pPr>
      <w:r>
        <w:rPr>
          <w:rFonts w:ascii="Arial" w:cs="Arial" w:eastAsia="Arial" w:hAnsi="Arial"/>
          <w:sz w:val="18"/>
          <w:szCs w:val="18"/>
          <w:color w:val="auto"/>
        </w:rPr>
        <w:t>In connection with the Annual Report on Form 10-K of BioXcel Therapeutics, Inc. (the “Company”) for the fiscal year ended December 31, 2021,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4" w:lineRule="exact"/>
        <w:rPr>
          <w:sz w:val="20"/>
          <w:szCs w:val="20"/>
          <w:color w:val="auto"/>
        </w:rPr>
      </w:pPr>
    </w:p>
    <w:p>
      <w:pPr>
        <w:ind w:left="1040" w:right="899" w:hanging="332"/>
        <w:spacing w:after="0" w:line="277" w:lineRule="auto"/>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40" w:right="339" w:hanging="332"/>
        <w:spacing w:after="0" w:line="277" w:lineRule="auto"/>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200"/>
        <w:spacing w:after="0"/>
        <w:tabs>
          <w:tab w:leader="none" w:pos="4300" w:val="left"/>
          <w:tab w:leader="none" w:pos="472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25717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Vimal Mehta, Ph.D.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7" w:name="page148"/>
    <w:bookmarkEnd w:id="147"/>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279" w:firstLine="648"/>
        <w:spacing w:after="0" w:line="243" w:lineRule="auto"/>
        <w:rPr>
          <w:sz w:val="20"/>
          <w:szCs w:val="20"/>
          <w:color w:val="auto"/>
        </w:rPr>
      </w:pPr>
      <w:r>
        <w:rPr>
          <w:rFonts w:ascii="Arial" w:cs="Arial" w:eastAsia="Arial" w:hAnsi="Arial"/>
          <w:sz w:val="18"/>
          <w:szCs w:val="18"/>
          <w:color w:val="auto"/>
        </w:rPr>
        <w:t>In connection with the Annual Report on Form 10-K of BioXcel Therapeutics, Inc. (the “Company”) for the fiscal year ended December 31, 2021,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4" w:lineRule="exact"/>
        <w:rPr>
          <w:sz w:val="20"/>
          <w:szCs w:val="20"/>
          <w:color w:val="auto"/>
        </w:rPr>
      </w:pPr>
    </w:p>
    <w:p>
      <w:pPr>
        <w:ind w:left="1040" w:right="899" w:hanging="332"/>
        <w:spacing w:after="0" w:line="277"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40" w:right="339" w:hanging="332"/>
        <w:spacing w:after="0" w:line="277"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7"/>
          <w:szCs w:val="17"/>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25031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Steinhart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lvl w:ilvl="1">
      <w:lvlJc w:val="left"/>
      <w:lvlText w:val="●"/>
      <w:numFmt w:val="bullet"/>
      <w:start w:val="1"/>
    </w:lvl>
    <w:lvl w:ilvl="2">
      <w:lvlJc w:val="left"/>
      <w:lvlText w:val=" "/>
      <w:numFmt w:val="bullet"/>
      <w:start w:val="1"/>
    </w:lvl>
  </w:abstractNum>
  <w:abstractNum w:abstractNumId="6">
    <w:nsid w:val="6A2342EC"/>
    <w:multiLevelType w:val="hybridMultilevel"/>
    <w:lvl w:ilvl="0">
      <w:lvlJc w:val="left"/>
      <w:lvlText w:val="●"/>
      <w:numFmt w:val="bullet"/>
      <w:start w:val="1"/>
    </w:lvl>
    <w:lvl w:ilvl="1">
      <w:lvlJc w:val="left"/>
      <w:lvlText w:val=" "/>
      <w:numFmt w:val="bullet"/>
      <w:start w:val="1"/>
    </w:lvl>
  </w:abstractNum>
  <w:abstractNum w:abstractNumId="7">
    <w:nsid w:val="2A487CB0"/>
    <w:multiLevelType w:val="hybridMultilevel"/>
    <w:lvl w:ilvl="0">
      <w:lvlJc w:val="left"/>
      <w:lvlText w:val="●"/>
      <w:numFmt w:val="bullet"/>
      <w:start w:val="1"/>
    </w:lvl>
    <w:lvl w:ilvl="1">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lowerLetter"/>
      <w:start w:val="2"/>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lvl w:ilvl="1">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decimal"/>
      <w:start w:val="2"/>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104"/>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1"/>
    </w:lvl>
    <w:lvl w:ilvl="1">
      <w:lvlJc w:val="left"/>
      <w:lvlText w:val="(%2)"/>
      <w:numFmt w:val="lowerLetter"/>
      <w:start w:val="1"/>
    </w:lvl>
  </w:abstractNum>
  <w:abstractNum w:abstractNumId="57">
    <w:nsid w:val="5DB70AE5"/>
    <w:multiLevelType w:val="hybridMultilevel"/>
    <w:lvl w:ilvl="0">
      <w:lvlJc w:val="left"/>
      <w:lvlText w:val="(%1)"/>
      <w:numFmt w:val="lowerRoman"/>
      <w:start w:val="4"/>
    </w:lvl>
  </w:abstractNum>
  <w:abstractNum w:abstractNumId="58">
    <w:nsid w:val="100F8FCA"/>
    <w:multiLevelType w:val="hybridMultilevel"/>
    <w:lvl w:ilvl="0">
      <w:lvlJc w:val="left"/>
      <w:lvlText w:val="%1"/>
      <w:numFmt w:val="lowerLetter"/>
      <w:start w:val="1"/>
    </w:lvl>
    <w:lvl w:ilvl="1">
      <w:lvlJc w:val="left"/>
      <w:lvlText w:val="(%2)"/>
      <w:numFmt w:val="lowerRoman"/>
      <w:start w:val="1"/>
    </w:lvl>
  </w:abstractNum>
  <w:abstractNum w:abstractNumId="59">
    <w:nsid w:val="6590700B"/>
    <w:multiLevelType w:val="hybridMultilevel"/>
    <w:lvl w:ilvl="0">
      <w:lvlJc w:val="left"/>
      <w:lvlText w:val="(%1)"/>
      <w:numFmt w:val="lowerLetter"/>
      <w:start w:val="3"/>
    </w:lvl>
    <w:lvl w:ilvl="1">
      <w:lvlJc w:val="left"/>
      <w:lvlText w:val="%2"/>
      <w:numFmt w:val="lowerRoman"/>
      <w:start w:val="1"/>
    </w:lvl>
  </w:abstractNum>
  <w:abstractNum w:abstractNumId="60">
    <w:nsid w:val="15014ACB"/>
    <w:multiLevelType w:val="hybridMultilevel"/>
    <w:lvl w:ilvl="0">
      <w:lvlJc w:val="left"/>
      <w:lvlText w:val="%1."/>
      <w:numFmt w:val="decimal"/>
      <w:start w:val="2"/>
    </w:lvl>
  </w:abstractNum>
  <w:abstractNum w:abstractNumId="61">
    <w:nsid w:val="5F5E7FD0"/>
    <w:multiLevelType w:val="hybridMultilevel"/>
    <w:lvl w:ilvl="0">
      <w:lvlJc w:val="left"/>
      <w:lvlText w:val="%1."/>
      <w:numFmt w:val="decimal"/>
      <w:start w:val="6"/>
    </w:lvl>
    <w:lvl w:ilvl="1">
      <w:lvlJc w:val="left"/>
      <w:lvlText w:val="(%2)"/>
      <w:numFmt w:val="lowerLetter"/>
      <w:start w:val="1"/>
    </w:lvl>
  </w:abstractNum>
  <w:abstractNum w:abstractNumId="62">
    <w:nsid w:val="98A31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3">
    <w:nsid w:val="799D0247"/>
    <w:multiLevelType w:val="hybridMultilevel"/>
    <w:lvl w:ilvl="0">
      <w:lvlJc w:val="left"/>
      <w:lvlText w:val="(%1)"/>
      <w:numFmt w:val="decimal"/>
      <w:start w:val="10"/>
    </w:lvl>
    <w:lvl w:ilvl="1">
      <w:lvlJc w:val="left"/>
      <w:lvlText w:val="%2."/>
      <w:numFmt w:val="decimal"/>
      <w:start w:val="7"/>
    </w:lvl>
    <w:lvl w:ilvl="2">
      <w:lvlJc w:val="left"/>
      <w:lvlText w:val="(%3)"/>
      <w:numFmt w:val="lowerLetter"/>
      <w:start w:val="4"/>
    </w:lvl>
  </w:abstractNum>
  <w:abstractNum w:abstractNumId="64">
    <w:nsid w:val="6B947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5">
    <w:nsid w:val="42C296BD"/>
    <w:multiLevelType w:val="hybridMultilevel"/>
    <w:lvl w:ilvl="0">
      <w:lvlJc w:val="left"/>
      <w:lvlText w:val="(%1)"/>
      <w:numFmt w:val="lowerLetter"/>
      <w:start w:val="35"/>
    </w:lvl>
    <w:lvl w:ilvl="1">
      <w:lvlJc w:val="left"/>
      <w:lvlText w:val="(%2)"/>
      <w:numFmt w:val="lowerLetter"/>
      <w:start w:val="3"/>
    </w:lvl>
  </w:abstractNum>
  <w:abstractNum w:abstractNumId="66">
    <w:nsid w:val="168E121F"/>
    <w:multiLevelType w:val="hybridMultilevel"/>
    <w:lvl w:ilvl="0">
      <w:lvlJc w:val="left"/>
      <w:lvlText w:val="%1."/>
      <w:numFmt w:val="decimal"/>
      <w:start w:val="9"/>
    </w:lvl>
    <w:lvl w:ilvl="1">
      <w:lvlJc w:val="left"/>
      <w:lvlText w:val="(%2)"/>
      <w:numFmt w:val="lowerLetter"/>
      <w:start w:val="1"/>
    </w:lvl>
  </w:abstractNum>
  <w:abstractNum w:abstractNumId="67">
    <w:nsid w:val="1EBA5D23"/>
    <w:multiLevelType w:val="hybridMultilevel"/>
    <w:lvl w:ilvl="0">
      <w:lvlJc w:val="left"/>
      <w:lvlText w:val="%1"/>
      <w:numFmt w:val="upperLetter"/>
      <w:start w:val="1"/>
    </w:lvl>
    <w:lvl w:ilvl="1">
      <w:lvlJc w:val="left"/>
      <w:lvlText w:val="(%2)"/>
      <w:numFmt w:val="lowerLetter"/>
      <w:start w:val="2"/>
    </w:lvl>
  </w:abstractNum>
  <w:abstractNum w:abstractNumId="68">
    <w:nsid w:val="661E3F1E"/>
    <w:multiLevelType w:val="hybridMultilevel"/>
    <w:lvl w:ilvl="0">
      <w:lvlJc w:val="left"/>
      <w:lvlText w:val="(%1)"/>
      <w:numFmt w:val="upperLetter"/>
      <w:start w:val="1"/>
    </w:lvl>
    <w:lvl w:ilvl="1">
      <w:lvlJc w:val="left"/>
      <w:lvlText w:val="(%2)"/>
      <w:numFmt w:val="lowerLetter"/>
      <w:start w:val="3"/>
    </w:lvl>
  </w:abstractNum>
  <w:abstractNum w:abstractNumId="69">
    <w:nsid w:val="5DC79EA8"/>
    <w:multiLevelType w:val="hybridMultilevel"/>
    <w:lvl w:ilvl="0">
      <w:lvlJc w:val="left"/>
      <w:lvlText w:val="%1."/>
      <w:numFmt w:val="decimal"/>
      <w:start w:val="13"/>
    </w:lvl>
    <w:lvl w:ilvl="1">
      <w:lvlJc w:val="left"/>
      <w:lvlText w:val="(%2)"/>
      <w:numFmt w:val="lowerLetter"/>
      <w:start w:val="1"/>
    </w:lvl>
  </w:abstractNum>
  <w:abstractNum w:abstractNumId="70">
    <w:nsid w:val="540A471C"/>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71">
    <w:nsid w:val="7BD3EE7B"/>
    <w:multiLevelType w:val="hybridMultilevel"/>
    <w:lvl w:ilvl="0">
      <w:lvlJc w:val="left"/>
      <w:lvlText w:val="%1"/>
      <w:numFmt w:val="lowerLetter"/>
      <w:start w:val="1"/>
    </w:lvl>
    <w:lvl w:ilvl="1">
      <w:lvlJc w:val="left"/>
      <w:lvlText w:val="(%2)"/>
      <w:numFmt w:val="lowerRoman"/>
      <w:start w:val="2"/>
    </w:lvl>
  </w:abstractNum>
  <w:abstractNum w:abstractNumId="72">
    <w:nsid w:val="51D9C564"/>
    <w:multiLevelType w:val="hybridMultilevel"/>
    <w:lvl w:ilvl="0">
      <w:lvlJc w:val="left"/>
      <w:lvlText w:val="(%1)"/>
      <w:numFmt w:val="lowerLetter"/>
      <w:start w:val="26"/>
    </w:lvl>
    <w:lvl w:ilvl="1">
      <w:lvlJc w:val="left"/>
      <w:lvlText w:val="(%2)"/>
      <w:numFmt w:val="lowerRoman"/>
      <w:start w:val="4"/>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30" Type="http://schemas.openxmlformats.org/officeDocument/2006/relationships/image" Target="media/image116.png"/><Relationship Id="rId144"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20" Type="http://schemas.openxmlformats.org/officeDocument/2006/relationships/hyperlink" Target="https://www.sec.gov/Archives/edgar/data/0001720893/000110465921036250/tm219787d1_8k.htm" TargetMode="External"/><Relationship Id="rId124" Type="http://schemas.openxmlformats.org/officeDocument/2006/relationships/hyperlink" Target="http://www.sec.gov/Archives/edgar/data/1720893/000110465918016770/a18-8090_1ex3d1.htm" TargetMode="External"/><Relationship Id="rId125" Type="http://schemas.openxmlformats.org/officeDocument/2006/relationships/hyperlink" Target="http://www.sec.gov/Archives/edgar/data/1720893/000110465918016770/a18-8090_1ex3d2.htm" TargetMode="External"/><Relationship Id="rId126" Type="http://schemas.openxmlformats.org/officeDocument/2006/relationships/hyperlink" Target="https://www.sec.gov/Archives/edgar/data/1720893/000155837020002196/btai-20191231ex41bb8e5e8.htm" TargetMode="External"/><Relationship Id="rId127" Type="http://schemas.openxmlformats.org/officeDocument/2006/relationships/hyperlink" Target="http://www.sec.gov/Archives/edgar/data/1720893/000104746918001032/a2234645zex-4_2.htm#Exhibit:http://www.sec.gov/Archives/edgar/data/1720893/000104746918001032/a2234645zex-4_2.htm" TargetMode="External"/><Relationship Id="rId128" Type="http://schemas.openxmlformats.org/officeDocument/2006/relationships/hyperlink" Target="https://www.sec.gov/Archives/edgar/data/1720893/000155837020002196/btai-20191231ex102ae7793.htm" TargetMode="External"/><Relationship Id="rId129" Type="http://schemas.openxmlformats.org/officeDocument/2006/relationships/hyperlink" Target="http://www.sec.gov/Archives/edgar/data/1720893/000104746918000756/a2234454zex-10_2.htm" TargetMode="External"/><Relationship Id="rId131" Type="http://schemas.openxmlformats.org/officeDocument/2006/relationships/hyperlink" Target="http://www.sec.gov/Archives/edgar/data/1720893/000110465918053383/a18-21149_1ex10d1.htm" TargetMode="External"/><Relationship Id="rId132" Type="http://schemas.openxmlformats.org/officeDocument/2006/relationships/hyperlink" Target="https://www.sec.gov/Archives/edgar/data/1720893/000155837020013632/btai-20200930ex1018d184a.htm" TargetMode="External"/><Relationship Id="rId133" Type="http://schemas.openxmlformats.org/officeDocument/2006/relationships/hyperlink" Target="http://www.sec.gov/Archives/edgar/data/1720893/000104746918000756/a2234454zex-10_3.htm" TargetMode="External"/><Relationship Id="rId134" Type="http://schemas.openxmlformats.org/officeDocument/2006/relationships/hyperlink" Target="http://www.sec.gov/Archives/edgar/data/1720893/000104746918000756/a2234454zex-10_4.htm" TargetMode="External"/><Relationship Id="rId135" Type="http://schemas.openxmlformats.org/officeDocument/2006/relationships/hyperlink" Target="http://www.sec.gov/Archives/edgar/data/1720893/000104746918000756/a2234454zex-10_5.htm" TargetMode="External"/><Relationship Id="rId136" Type="http://schemas.openxmlformats.org/officeDocument/2006/relationships/hyperlink" Target="https://www.sec.gov/Archives/edgar/data/1720893/000155837020010611/btai-20200630ex101dd8d33.htm" TargetMode="External"/><Relationship Id="rId137" Type="http://schemas.openxmlformats.org/officeDocument/2006/relationships/hyperlink" Target="https://www.sec.gov/Archives/edgar/data/1720893/000110465920064759/tm2020394d1_ex10-2.htm" TargetMode="External"/><Relationship Id="rId138" Type="http://schemas.openxmlformats.org/officeDocument/2006/relationships/hyperlink" Target="http://www.sec.gov/Archives/edgar/data/1720893/000104746918000756/a2234454zex-10_6.htm" TargetMode="External"/><Relationship Id="rId139" Type="http://schemas.openxmlformats.org/officeDocument/2006/relationships/hyperlink" Target="http://www.sec.gov/Archives/edgar/data/1720893/000110465918016770/a18-8090_1ex10d1.htm" TargetMode="External"/><Relationship Id="rId140" Type="http://schemas.openxmlformats.org/officeDocument/2006/relationships/hyperlink" Target="http://www.sec.gov/Archives/edgar/data/1720893/000104746918000756/a2234454zex-10_11.htm" TargetMode="External"/><Relationship Id="rId141" Type="http://schemas.openxmlformats.org/officeDocument/2006/relationships/hyperlink" Target="http://www.sec.gov/Archives/edgar/data/1720893/000104746918000756/a2234454zex-10_12.htm" TargetMode="External"/><Relationship Id="rId142" Type="http://schemas.openxmlformats.org/officeDocument/2006/relationships/hyperlink" Target="http://www.sec.gov/Archives/edgar/data/1720893/000110465918038902/a18-14962_1ex10d1.htm" TargetMode="External"/><Relationship Id="rId143" Type="http://schemas.openxmlformats.org/officeDocument/2006/relationships/hyperlink" Target="https://www.sec.gov/Archives/edgar/data/1720893/000155837020010611/btai-20200630ex103a23b2e.htm" TargetMode="External"/><Relationship Id="rId145" Type="http://schemas.openxmlformats.org/officeDocument/2006/relationships/hyperlink" Target="https://www.sec.gov/Archives/edgar/data/1720893/000155837020010611/btai-20200630ex104551247.htm" TargetMode="External"/><Relationship Id="rId146" Type="http://schemas.openxmlformats.org/officeDocument/2006/relationships/hyperlink" Target="https://www.sec.gov/Archives/edgar/data/1720893/000155837021011074/btai-20210630xex10d1.htm" TargetMode="External"/><Relationship Id="rId147" Type="http://schemas.openxmlformats.org/officeDocument/2006/relationships/hyperlink" Target="https://www.sec.gov/Archives/edgar/data/0001720893/000155837021002916/btai-20201231ex101943a8b.htm" TargetMode="External"/><Relationship Id="rId148" Type="http://schemas.openxmlformats.org/officeDocument/2006/relationships/hyperlink" Target="https://www.sec.gov/Archives/edgar/data/1720893/000155837020006435/btai-20200331ex1016847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2022-03-11T05:16:35Z</dcterms:created>
  <dcterms:modified xsi:type="dcterms:W3CDTF">2022-03-11T05:16:35Z</dcterms:modified>
</cp:coreProperties>
</file>