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140" w:right="280" w:hanging="2883"/>
        <w:spacing w:after="0" w:line="347" w:lineRule="auto"/>
        <w:tabs>
          <w:tab w:leader="none" w:pos="728"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172085</wp:posOffset>
            </wp:positionH>
            <wp:positionV relativeFrom="paragraph">
              <wp:posOffset>-385445</wp:posOffset>
            </wp:positionV>
            <wp:extent cx="118745" cy="91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745" cy="9144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186690</wp:posOffset>
            </wp:positionH>
            <wp:positionV relativeFrom="paragraph">
              <wp:posOffset>-114935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238"/>
        </w:trPr>
        <w:tc>
          <w:tcPr>
            <w:tcW w:w="54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25"/>
                <w:szCs w:val="25"/>
                <w:b w:val="1"/>
                <w:bCs w:val="1"/>
                <w:color w:val="auto"/>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44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6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555 Long Wharf Drive</w:t>
            </w:r>
          </w:p>
        </w:tc>
        <w:tc>
          <w:tcPr>
            <w:tcW w:w="1360" w:type="dxa"/>
            <w:vAlign w:val="bottom"/>
            <w:vMerge w:val="restart"/>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06511</w:t>
            </w:r>
          </w:p>
        </w:tc>
        <w:tc>
          <w:tcPr>
            <w:tcW w:w="0" w:type="dxa"/>
            <w:vAlign w:val="bottom"/>
          </w:tcPr>
          <w:p>
            <w:pPr>
              <w:spacing w:after="0"/>
              <w:rPr>
                <w:sz w:val="1"/>
                <w:szCs w:val="1"/>
                <w:color w:val="auto"/>
              </w:rPr>
            </w:pPr>
          </w:p>
        </w:tc>
      </w:tr>
      <w:tr>
        <w:trPr>
          <w:trHeight w:val="151"/>
        </w:trPr>
        <w:tc>
          <w:tcPr>
            <w:tcW w:w="5440" w:type="dxa"/>
            <w:vAlign w:val="bottom"/>
            <w:gridSpan w:val="3"/>
          </w:tcPr>
          <w:p>
            <w:pPr>
              <w:jc w:val="center"/>
              <w:ind w:right="3140"/>
              <w:spacing w:after="0" w:line="151" w:lineRule="exact"/>
              <w:rPr>
                <w:sz w:val="20"/>
                <w:szCs w:val="20"/>
                <w:color w:val="auto"/>
              </w:rPr>
            </w:pPr>
            <w:r>
              <w:rPr>
                <w:rFonts w:ascii="Times New Roman" w:cs="Times New Roman" w:eastAsia="Times New Roman" w:hAnsi="Times New Roman"/>
                <w:sz w:val="14"/>
                <w:szCs w:val="14"/>
                <w:b w:val="1"/>
                <w:bCs w:val="1"/>
                <w:color w:val="auto"/>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4920" w:type="dxa"/>
            <w:vAlign w:val="bottom"/>
            <w:gridSpan w:val="2"/>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(475) 238-6837</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140"/>
          </w:cols>
          <w:pgMar w:left="840" w:top="661"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Nasdaq Capital Market</w:t>
      </w:r>
    </w:p>
    <w:p>
      <w:pPr>
        <w:spacing w:after="0" w:line="1" w:lineRule="exact"/>
        <w:rPr>
          <w:sz w:val="24"/>
          <w:szCs w:val="24"/>
          <w:color w:val="auto"/>
        </w:rPr>
      </w:pPr>
    </w:p>
    <w:p>
      <w:pPr>
        <w:sectPr>
          <w:pgSz w:w="11900" w:h="16838" w:orient="portrait"/>
          <w:cols w:equalWidth="0" w:num="3">
            <w:col w:w="3520" w:space="720"/>
            <w:col w:w="1920" w:space="720"/>
            <w:col w:w="3260"/>
          </w:cols>
          <w:pgMar w:left="840" w:top="661" w:right="919" w:bottom="1440" w:gutter="0" w:footer="0" w:header="0"/>
          <w:type w:val="continuous"/>
        </w:sectPr>
      </w:pPr>
    </w:p>
    <w:p>
      <w:pPr>
        <w:ind w:left="940"/>
        <w:spacing w:after="0" w:line="238" w:lineRule="auto"/>
        <w:rPr>
          <w:sz w:val="20"/>
          <w:szCs w:val="20"/>
          <w:color w:val="auto"/>
        </w:rPr>
      </w:pPr>
      <w:r>
        <w:rPr>
          <w:rFonts w:ascii="Times New Roman" w:cs="Times New Roman" w:eastAsia="Times New Roman" w:hAnsi="Times New Roman"/>
          <w:sz w:val="14"/>
          <w:szCs w:val="14"/>
          <w:color w:val="auto"/>
        </w:rPr>
        <w:t>$0.001 par value per share</w:t>
      </w:r>
    </w:p>
    <w:p>
      <w:pPr>
        <w:sectPr>
          <w:pgSz w:w="11900" w:h="16838" w:orient="portrait"/>
          <w:cols w:equalWidth="0" w:num="1">
            <w:col w:w="10140"/>
          </w:cols>
          <w:pgMar w:left="840" w:top="661" w:right="919" w:bottom="1440" w:gutter="0" w:footer="0" w:header="0"/>
          <w:type w:val="continuous"/>
        </w:sectPr>
      </w:pPr>
    </w:p>
    <w:p>
      <w:pPr>
        <w:spacing w:after="0" w:line="109"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3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32" w:lineRule="exact"/>
        <w:rPr>
          <w:sz w:val="24"/>
          <w:szCs w:val="24"/>
          <w:color w:val="auto"/>
        </w:rPr>
      </w:pPr>
    </w:p>
    <w:p>
      <w:pPr>
        <w:ind w:left="18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6380" w:space="720"/>
            <w:col w:w="3040"/>
          </w:cols>
          <w:pgMar w:left="840" w:top="661" w:right="919" w:bottom="1440" w:gutter="0" w:footer="0" w:header="0"/>
          <w:type w:val="continuous"/>
        </w:sectPr>
      </w:pPr>
    </w:p>
    <w:p>
      <w:pPr>
        <w:ind w:left="184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36" w:lineRule="exact"/>
        <w:rPr>
          <w:sz w:val="24"/>
          <w:szCs w:val="24"/>
          <w:color w:val="auto"/>
        </w:rPr>
      </w:pPr>
    </w:p>
    <w:p>
      <w:pPr>
        <w:sectPr>
          <w:pgSz w:w="11900" w:h="16838" w:orient="portrait"/>
          <w:cols w:equalWidth="0" w:num="2">
            <w:col w:w="6060" w:space="720"/>
            <w:col w:w="3360"/>
          </w:cols>
          <w:pgMar w:left="840" w:top="661" w:right="919" w:bottom="1440" w:gutter="0" w:footer="0" w:header="0"/>
          <w:type w:val="continuous"/>
        </w:sectPr>
      </w:pPr>
    </w:p>
    <w:p>
      <w:pPr>
        <w:ind w:left="678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10140"/>
          </w:cols>
          <w:pgMar w:left="840" w:top="661" w:right="919" w:bottom="1440" w:gutter="0" w:footer="0" w:header="0"/>
          <w:type w:val="continuous"/>
        </w:sectPr>
      </w:pPr>
    </w:p>
    <w:p>
      <w:pPr>
        <w:spacing w:after="0" w:line="92"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6"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at November 1, 2020 was 24,368,357.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100965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340" w:type="dxa"/>
            <w:vAlign w:val="bottom"/>
            <w:gridSpan w:val="3"/>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0" w:type="dxa"/>
            <w:vAlign w:val="bottom"/>
            <w:gridSpan w:val="4"/>
            <w:vMerge w:val="restart"/>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0" w:type="dxa"/>
            <w:vAlign w:val="bottom"/>
            <w:gridSpan w:val="4"/>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780" w:type="dxa"/>
            <w:vAlign w:val="bottom"/>
          </w:tcPr>
          <w:p>
            <w:pPr>
              <w:spacing w:after="0"/>
              <w:rPr>
                <w:sz w:val="24"/>
                <w:szCs w:val="24"/>
                <w:color w:val="auto"/>
              </w:rPr>
            </w:pPr>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Forward Looking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Summary Risk Factors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Item 1.</w:t>
              </w:r>
            </w:hyperlink>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Financial Statements (Unaudited)</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Balance Sheets as of September 30, 2020 and December 31, 2019</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Statements of Operations for the three and nine months ended September 30, 2020 and 2019</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7640" w:type="dxa"/>
            <w:vAlign w:val="bottom"/>
            <w:gridSpan w:val="7"/>
          </w:tcPr>
          <w:p>
            <w:pPr>
              <w:ind w:left="40"/>
              <w:spacing w:after="0" w:line="194"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Statements of Changes in Stockholders’ Equity for the three and nine months ended September 30, 2020</w:t>
              </w:r>
            </w:hyperlink>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and 2019</w:t>
              </w:r>
            </w:hyperlink>
          </w:p>
        </w:tc>
        <w:tc>
          <w:tcPr>
            <w:tcW w:w="672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8"/>
        </w:trPr>
        <w:tc>
          <w:tcPr>
            <w:tcW w:w="780" w:type="dxa"/>
            <w:vAlign w:val="bottom"/>
          </w:tcPr>
          <w:p>
            <w:pPr>
              <w:spacing w:after="0"/>
              <w:rPr>
                <w:sz w:val="18"/>
                <w:szCs w:val="18"/>
                <w:color w:val="auto"/>
              </w:rPr>
            </w:pPr>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Statements of Cash Flows for the nine months ended September 30, 2020 and 2019</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2.</w:t>
              </w:r>
            </w:hyperlink>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2"/>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3.</w:t>
              </w:r>
            </w:hyperlink>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8"/>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4.</w:t>
              </w:r>
            </w:hyperlink>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391"/>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340" w:type="dxa"/>
            <w:vAlign w:val="bottom"/>
            <w:gridSpan w:val="3"/>
          </w:tcPr>
          <w:p>
            <w:pPr>
              <w:jc w:val="center"/>
              <w:ind w:right="262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1.</w:t>
              </w:r>
            </w:hyperlink>
          </w:p>
        </w:tc>
        <w:tc>
          <w:tcPr>
            <w:tcW w:w="2300" w:type="dxa"/>
            <w:vAlign w:val="bottom"/>
            <w:gridSpan w:val="4"/>
          </w:tcPr>
          <w:p>
            <w:pPr>
              <w:ind w:left="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Legal Proceedings</w:t>
              </w:r>
            </w:hyperlink>
          </w:p>
        </w:tc>
        <w:tc>
          <w:tcPr>
            <w:tcW w:w="2720" w:type="dxa"/>
            <w:vAlign w:val="bottom"/>
            <w:tcBorders>
              <w:top w:val="single" w:sz="8" w:color="0000EE"/>
            </w:tcBorders>
          </w:tcPr>
          <w:p>
            <w:pPr>
              <w:spacing w:after="0"/>
              <w:rPr>
                <w:sz w:val="24"/>
                <w:szCs w:val="24"/>
                <w:color w:val="auto"/>
              </w:rPr>
            </w:pPr>
          </w:p>
        </w:tc>
        <w:tc>
          <w:tcPr>
            <w:tcW w:w="262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1A.</w:t>
              </w:r>
            </w:hyperlink>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Item 2.</w:t>
              </w:r>
            </w:hyperlink>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Item 3.</w:t>
              </w:r>
            </w:hyperlink>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Defaults Upon Senior Securities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Item 4.</w:t>
              </w:r>
            </w:hyperlink>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Mine Safety Disclosures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Item 5.</w:t>
              </w:r>
            </w:hyperlink>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Other Information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Item 6.</w:t>
              </w:r>
            </w:hyperlink>
          </w:p>
        </w:tc>
        <w:tc>
          <w:tcPr>
            <w:tcW w:w="7640" w:type="dxa"/>
            <w:vAlign w:val="bottom"/>
            <w:gridSpan w:val="7"/>
          </w:tcPr>
          <w:p>
            <w:pPr>
              <w:ind w:left="40"/>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Exhibits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780" w:type="dxa"/>
            <w:vAlign w:val="bottom"/>
          </w:tcPr>
          <w:p>
            <w:pPr>
              <w:spacing w:after="0"/>
              <w:rPr>
                <w:rFonts w:ascii="Times New Roman" w:cs="Times New Roman" w:eastAsia="Times New Roman" w:hAnsi="Times New Roman"/>
                <w:sz w:val="18"/>
                <w:szCs w:val="18"/>
                <w:u w:val="single" w:color="auto"/>
                <w:color w:val="0000EE"/>
                <w:w w:val="99"/>
              </w:rPr>
            </w:pPr>
            <w:hyperlink w:anchor="page78">
              <w:r>
                <w:rPr>
                  <w:rFonts w:ascii="Times New Roman" w:cs="Times New Roman" w:eastAsia="Times New Roman" w:hAnsi="Times New Roman"/>
                  <w:sz w:val="18"/>
                  <w:szCs w:val="18"/>
                  <w:u w:val="single" w:color="auto"/>
                  <w:color w:val="0000EE"/>
                  <w:w w:val="99"/>
                </w:rPr>
                <w:t>Signatures</w:t>
              </w:r>
            </w:hyperlink>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60" w:right="299" w:firstLine="324"/>
        <w:spacing w:after="0" w:line="22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7" w:lineRule="exact"/>
        <w:rPr>
          <w:sz w:val="20"/>
          <w:szCs w:val="20"/>
          <w:color w:val="auto"/>
        </w:rPr>
      </w:pPr>
    </w:p>
    <w:p>
      <w:pPr>
        <w:ind w:left="1020" w:hanging="32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for BXCL501, BXCL701 and our other product candidates;</w:t>
      </w:r>
    </w:p>
    <w:p>
      <w:pPr>
        <w:spacing w:after="0" w:line="2" w:lineRule="exact"/>
        <w:rPr>
          <w:rFonts w:ascii="Times New Roman" w:cs="Times New Roman" w:eastAsia="Times New Roman" w:hAnsi="Times New Roman"/>
          <w:sz w:val="18"/>
          <w:szCs w:val="18"/>
          <w:color w:val="auto"/>
        </w:rPr>
      </w:pPr>
    </w:p>
    <w:p>
      <w:pPr>
        <w:ind w:left="1020"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505(b)(2) regulatory path approval;</w:t>
      </w:r>
    </w:p>
    <w:p>
      <w:pPr>
        <w:ind w:left="1020"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1020" w:right="299"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ind w:left="1020"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1020"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1020" w:right="199"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products for which we receive marketing approval;</w:t>
      </w:r>
    </w:p>
    <w:p>
      <w:pPr>
        <w:ind w:left="1020"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ind w:left="1020"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1020"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1020"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1020"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1020" w:hanging="322"/>
        <w:spacing w:after="0" w:line="21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including our preclinical studies and clinical trials: and</w:t>
      </w:r>
    </w:p>
    <w:p>
      <w:pPr>
        <w:ind w:left="1020" w:hanging="32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w:t>
      </w:r>
    </w:p>
    <w:p>
      <w:pPr>
        <w:ind w:left="60"/>
        <w:spacing w:after="0" w:line="221" w:lineRule="auto"/>
        <w:rPr>
          <w:sz w:val="20"/>
          <w:szCs w:val="20"/>
          <w:color w:val="auto"/>
        </w:rPr>
      </w:pPr>
      <w:r>
        <w:rPr>
          <w:rFonts w:ascii="Times New Roman" w:cs="Times New Roman" w:eastAsia="Times New Roman" w:hAnsi="Times New Roman"/>
          <w:sz w:val="18"/>
          <w:szCs w:val="18"/>
          <w:color w:val="auto"/>
        </w:rPr>
        <w:t>promises nor guarantees, but involve known and unknown risks, uncertainties and other important factors that may cause</w:t>
      </w:r>
    </w:p>
    <w:p>
      <w:pPr>
        <w:ind w:left="60"/>
        <w:spacing w:after="0" w:line="219" w:lineRule="auto"/>
        <w:rPr>
          <w:sz w:val="20"/>
          <w:szCs w:val="20"/>
          <w:color w:val="auto"/>
        </w:rPr>
      </w:pPr>
      <w:r>
        <w:rPr>
          <w:rFonts w:ascii="Times New Roman" w:cs="Times New Roman" w:eastAsia="Times New Roman" w:hAnsi="Times New Roman"/>
          <w:sz w:val="18"/>
          <w:szCs w:val="18"/>
          <w:color w:val="auto"/>
        </w:rPr>
        <w:t>our actual results, performance or achievements to be materially different from any future results, performance or</w:t>
      </w:r>
    </w:p>
    <w:p>
      <w:pPr>
        <w:ind w:left="60"/>
        <w:spacing w:after="0" w:line="219" w:lineRule="auto"/>
        <w:rPr>
          <w:sz w:val="20"/>
          <w:szCs w:val="20"/>
          <w:color w:val="auto"/>
        </w:rPr>
      </w:pPr>
      <w:r>
        <w:rPr>
          <w:rFonts w:ascii="Times New Roman" w:cs="Times New Roman" w:eastAsia="Times New Roman" w:hAnsi="Times New Roman"/>
          <w:sz w:val="18"/>
          <w:szCs w:val="18"/>
          <w:color w:val="auto"/>
        </w:rPr>
        <w:t>achievements expressed or implied by the forward-looking statements. Factors that may cause actual results to differ</w:t>
      </w:r>
    </w:p>
    <w:p>
      <w:pPr>
        <w:ind w:left="60"/>
        <w:spacing w:after="0" w:line="219" w:lineRule="auto"/>
        <w:rPr>
          <w:sz w:val="20"/>
          <w:szCs w:val="20"/>
          <w:color w:val="auto"/>
        </w:rPr>
      </w:pPr>
      <w:r>
        <w:rPr>
          <w:rFonts w:ascii="Times New Roman" w:cs="Times New Roman" w:eastAsia="Times New Roman" w:hAnsi="Times New Roman"/>
          <w:sz w:val="18"/>
          <w:szCs w:val="18"/>
          <w:color w:val="auto"/>
        </w:rPr>
        <w:t>materially from current expectations include, among other things, those listed under “Summary Risk Factors” Part II,</w:t>
      </w:r>
    </w:p>
    <w:p>
      <w:pPr>
        <w:ind w:left="60"/>
        <w:spacing w:after="0" w:line="233" w:lineRule="auto"/>
        <w:rPr>
          <w:sz w:val="20"/>
          <w:szCs w:val="20"/>
          <w:color w:val="auto"/>
        </w:rPr>
      </w:pPr>
      <w:r>
        <w:rPr>
          <w:rFonts w:ascii="Times New Roman" w:cs="Times New Roman" w:eastAsia="Times New Roman" w:hAnsi="Times New Roman"/>
          <w:sz w:val="17"/>
          <w:szCs w:val="17"/>
          <w:color w:val="auto"/>
        </w:rPr>
        <w:t>Item 1A. “Risk Factors,” and Part I, Item 2. “Management’s Discussion and Analysis of Financial Condition and Results of</w:t>
      </w:r>
    </w:p>
    <w:p>
      <w:pPr>
        <w:ind w:left="60"/>
        <w:spacing w:after="0" w:line="219" w:lineRule="auto"/>
        <w:rPr>
          <w:sz w:val="20"/>
          <w:szCs w:val="20"/>
          <w:color w:val="auto"/>
        </w:rPr>
      </w:pPr>
      <w:r>
        <w:rPr>
          <w:rFonts w:ascii="Times New Roman" w:cs="Times New Roman" w:eastAsia="Times New Roman" w:hAnsi="Times New Roman"/>
          <w:sz w:val="18"/>
          <w:szCs w:val="18"/>
          <w:color w:val="auto"/>
        </w:rPr>
        <w:t>Operations” and elsewhere in this Quarterly Report on Form 10-Q. Given these uncertainties, you should not rely on these</w:t>
      </w:r>
    </w:p>
    <w:p>
      <w:pPr>
        <w:ind w:left="60"/>
        <w:spacing w:after="0" w:line="219" w:lineRule="auto"/>
        <w:rPr>
          <w:sz w:val="20"/>
          <w:szCs w:val="20"/>
          <w:color w:val="auto"/>
        </w:rPr>
      </w:pPr>
      <w:r>
        <w:rPr>
          <w:rFonts w:ascii="Times New Roman" w:cs="Times New Roman" w:eastAsia="Times New Roman" w:hAnsi="Times New Roman"/>
          <w:sz w:val="18"/>
          <w:szCs w:val="18"/>
          <w:color w:val="auto"/>
        </w:rPr>
        <w:t>forward-looking statements as predictions of future events. Except as required by law, we assume no obligation to update</w:t>
      </w:r>
    </w:p>
    <w:p>
      <w:pPr>
        <w:ind w:left="60"/>
        <w:spacing w:after="0"/>
        <w:rPr>
          <w:sz w:val="20"/>
          <w:szCs w:val="20"/>
          <w:color w:val="auto"/>
        </w:rPr>
      </w:pPr>
      <w:r>
        <w:rPr>
          <w:rFonts w:ascii="Times New Roman" w:cs="Times New Roman" w:eastAsia="Times New Roman" w:hAnsi="Times New Roman"/>
          <w:sz w:val="18"/>
          <w:szCs w:val="18"/>
          <w:color w:val="auto"/>
        </w:rPr>
        <w:t>or revise these forward-looking statements for any reason, even if new information becomes available in the future.</w:t>
      </w:r>
    </w:p>
    <w:p>
      <w:pPr>
        <w:spacing w:after="0" w:line="138" w:lineRule="exact"/>
        <w:rPr>
          <w:sz w:val="20"/>
          <w:szCs w:val="20"/>
          <w:color w:val="auto"/>
        </w:rPr>
      </w:pPr>
    </w:p>
    <w:p>
      <w:pPr>
        <w:ind w:left="60" w:right="299" w:firstLine="324"/>
        <w:spacing w:after="0" w:line="225"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49" w:lineRule="exact"/>
        <w:rPr>
          <w:sz w:val="20"/>
          <w:szCs w:val="20"/>
          <w:color w:val="auto"/>
        </w:rPr>
      </w:pPr>
    </w:p>
    <w:p>
      <w:pPr>
        <w:ind w:left="60" w:right="99" w:firstLine="324"/>
        <w:spacing w:after="0" w:line="23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specified or the context otherwise requires, the terms “we,” “our,” “us,” the “Company” or “BTI” refer to BioXcel Therapeutics, Inc. and its subsidiaries, and “BioXcel” or “Parent” refer to the Company’s parent company, BioXcel LLC and its predecessor, BioXcel Corporation. All brand names or trademarks appearing in this Quarterly Report on Form 10-Q are the property of their respective owners.</w:t>
      </w:r>
    </w:p>
    <w:p>
      <w:pPr>
        <w:spacing w:after="0" w:line="131" w:lineRule="exact"/>
        <w:rPr>
          <w:sz w:val="20"/>
          <w:szCs w:val="20"/>
          <w:color w:val="auto"/>
        </w:rPr>
      </w:pPr>
    </w:p>
    <w:p>
      <w:pPr>
        <w:ind w:left="60" w:right="339" w:firstLine="324"/>
        <w:spacing w:after="0" w:line="229"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of material information about the Company. Financial and other important information regarding the Company is routinely posted on and accessible through the Investors sections of its website at www.bioxceltherapeutics.com. In addition, you may automatically receive email alerts and other information about the Company when you enroll your email address by visiting the “Email Alerts” option under the News / Events menu of the Investors section of ours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7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ordinary shares. The principal risks and uncertainties affecting our business include the following:</w:t>
      </w:r>
    </w:p>
    <w:p>
      <w:pPr>
        <w:spacing w:after="0" w:line="216" w:lineRule="exact"/>
        <w:rPr>
          <w:sz w:val="20"/>
          <w:szCs w:val="20"/>
          <w:color w:val="auto"/>
        </w:rPr>
      </w:pPr>
    </w:p>
    <w:p>
      <w:pPr>
        <w:ind w:left="700" w:right="199" w:hanging="326"/>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never generated any product revenues, which may make it difficult to evaluate the success of our business to date and to assess our future viability.</w:t>
      </w:r>
    </w:p>
    <w:p>
      <w:pPr>
        <w:ind w:left="700" w:right="699" w:hanging="326"/>
        <w:spacing w:after="0" w:line="281" w:lineRule="auto"/>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1" w:lineRule="exact"/>
        <w:rPr>
          <w:rFonts w:ascii="Times New Roman" w:cs="Times New Roman" w:eastAsia="Times New Roman" w:hAnsi="Times New Roman"/>
          <w:sz w:val="17"/>
          <w:szCs w:val="17"/>
          <w:color w:val="auto"/>
        </w:rPr>
      </w:pPr>
    </w:p>
    <w:p>
      <w:pPr>
        <w:ind w:left="700" w:right="79" w:hanging="326"/>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 and we have never had a drug approved.</w:t>
      </w:r>
    </w:p>
    <w:p>
      <w:pPr>
        <w:spacing w:after="0" w:line="36" w:lineRule="exact"/>
        <w:rPr>
          <w:rFonts w:ascii="Times New Roman" w:cs="Times New Roman" w:eastAsia="Times New Roman" w:hAnsi="Times New Roman"/>
          <w:sz w:val="18"/>
          <w:szCs w:val="18"/>
          <w:color w:val="auto"/>
        </w:rPr>
      </w:pPr>
    </w:p>
    <w:p>
      <w:pPr>
        <w:jc w:val="both"/>
        <w:ind w:left="700" w:right="79" w:hanging="326"/>
        <w:spacing w:after="0" w:line="258"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jc w:val="both"/>
        <w:ind w:left="700" w:right="79" w:hanging="326"/>
        <w:spacing w:after="0" w:line="26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 w:lineRule="exact"/>
        <w:rPr>
          <w:rFonts w:ascii="Times New Roman" w:cs="Times New Roman" w:eastAsia="Times New Roman" w:hAnsi="Times New Roman"/>
          <w:sz w:val="18"/>
          <w:szCs w:val="18"/>
          <w:color w:val="auto"/>
        </w:rPr>
      </w:pPr>
    </w:p>
    <w:p>
      <w:pPr>
        <w:jc w:val="both"/>
        <w:ind w:left="700" w:right="79" w:hanging="326"/>
        <w:spacing w:after="0" w:line="26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2" w:lineRule="exact"/>
        <w:rPr>
          <w:rFonts w:ascii="Times New Roman" w:cs="Times New Roman" w:eastAsia="Times New Roman" w:hAnsi="Times New Roman"/>
          <w:sz w:val="18"/>
          <w:szCs w:val="18"/>
          <w:color w:val="auto"/>
        </w:rPr>
      </w:pPr>
    </w:p>
    <w:p>
      <w:pPr>
        <w:ind w:left="700" w:right="79" w:hanging="326"/>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time-consuming and difficult to design and implement, and involve an uncertain outcome.</w:t>
      </w:r>
    </w:p>
    <w:p>
      <w:pPr>
        <w:jc w:val="both"/>
        <w:ind w:left="700" w:right="79" w:hanging="326"/>
        <w:spacing w:after="0" w:line="26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2" w:lineRule="exact"/>
        <w:rPr>
          <w:rFonts w:ascii="Times New Roman" w:cs="Times New Roman" w:eastAsia="Times New Roman" w:hAnsi="Times New Roman"/>
          <w:sz w:val="18"/>
          <w:szCs w:val="18"/>
          <w:color w:val="auto"/>
        </w:rPr>
      </w:pPr>
    </w:p>
    <w:p>
      <w:pPr>
        <w:ind w:left="700" w:right="79" w:hanging="326"/>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BioXcel’s approach to the discovery and development of product candidates based on EvolverAI is novel and unproven, and we do not know whether we will be able to develop any products of commercial value.</w:t>
      </w:r>
    </w:p>
    <w:p>
      <w:pPr>
        <w:jc w:val="both"/>
        <w:ind w:left="700" w:right="79" w:hanging="326"/>
        <w:spacing w:after="0" w:line="26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pacing w:after="0" w:line="2" w:lineRule="exact"/>
        <w:rPr>
          <w:rFonts w:ascii="Times New Roman" w:cs="Times New Roman" w:eastAsia="Times New Roman" w:hAnsi="Times New Roman"/>
          <w:sz w:val="18"/>
          <w:szCs w:val="18"/>
          <w:color w:val="auto"/>
        </w:rPr>
      </w:pPr>
    </w:p>
    <w:p>
      <w:pPr>
        <w:ind w:left="700" w:right="79" w:hanging="326"/>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gain market acceptance, our business will suffer because we might not be able to fund future operations.</w:t>
      </w:r>
    </w:p>
    <w:p>
      <w:pPr>
        <w:ind w:left="700" w:right="79" w:hanging="326"/>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regulatory approvals to commercialize BXCL501, BXCL701 or our other product candidates, our product candidates may not be accepted by physicians or the medical community in general.</w:t>
      </w: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to provide us with certain services for our business.</w:t>
      </w:r>
    </w:p>
    <w:p>
      <w:pPr>
        <w:spacing w:after="0" w:line="36" w:lineRule="exact"/>
        <w:rPr>
          <w:rFonts w:ascii="Times New Roman" w:cs="Times New Roman" w:eastAsia="Times New Roman" w:hAnsi="Times New Roman"/>
          <w:sz w:val="18"/>
          <w:szCs w:val="18"/>
          <w:color w:val="auto"/>
        </w:rPr>
      </w:pPr>
    </w:p>
    <w:p>
      <w:pPr>
        <w:jc w:val="both"/>
        <w:ind w:left="700" w:right="79" w:hanging="326"/>
        <w:spacing w:after="0" w:line="255"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3"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find third party collaborators to assist or share in the costs of product development could materially harm our business, financial condition and results of operations.</w:t>
      </w:r>
    </w:p>
    <w:p>
      <w:pPr>
        <w:spacing w:after="0" w:line="40"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5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to Parent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24,354,882 and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18,087,382 shares issued and outstanding as of September 30, 2020 and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238,749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(2.94)</w:t>
            </w:r>
          </w:p>
        </w:tc>
        <w:tc>
          <w:tcPr>
            <w:tcW w:w="2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23,050,256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15,752,196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20,779,465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15,695,263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860" w:type="dxa"/>
            <w:vAlign w:val="bottom"/>
            <w:gridSpan w:val="4"/>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rPr>
                <w:sz w:val="15"/>
                <w:szCs w:val="15"/>
                <w:color w:val="auto"/>
              </w:rPr>
            </w:pPr>
          </w:p>
        </w:tc>
        <w:tc>
          <w:tcPr>
            <w:tcW w:w="186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15,663,221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March 31,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15,665,802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32,368</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shares, net of issuance costs of</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June 30,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15,687,546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shares, net of issuance costs of</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$1,991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2,347,479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September 30, 2019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18,035,025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Balances as of December 31,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18,087,382</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(56,688)</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26,895</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net of issuance costs of</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$4,789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68,811</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and cancellation of shares from BioXcel</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as of March 31, 2020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20,182,382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144,165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72,586</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as of June 30, 2020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20,352,913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146,392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(93,018)</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53,394</w:t>
            </w:r>
          </w:p>
        </w:tc>
        <w:tc>
          <w:tcPr>
            <w:tcW w:w="0" w:type="dxa"/>
            <w:vAlign w:val="bottom"/>
          </w:tcPr>
          <w:p>
            <w:pPr>
              <w:spacing w:after="0"/>
              <w:rPr>
                <w:sz w:val="1"/>
                <w:szCs w:val="1"/>
                <w:color w:val="auto"/>
              </w:rPr>
            </w:pPr>
          </w:p>
        </w:tc>
      </w:tr>
      <w:tr>
        <w:trPr>
          <w:trHeight w:val="151"/>
        </w:trPr>
        <w:tc>
          <w:tcPr>
            <w:tcW w:w="39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Issuance of common stock, net of issuance costs of</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$12,991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187,008</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September 30,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24,354,882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338,685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220,938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9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8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(61,083)</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other assets and right of use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Accounts payable, accrued expenses, lease liabilities and other liabilities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Purchases of equipment and leasehold improvements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and cancellation of shares from BioXcel Corporation</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Exercise of options</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6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 and liability (non-cash adoption balances)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ROU lease assets obtained in exchange for operating lease liabilities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Principal Activities</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is a clinical stage biopharmaceutical company focused on drug development that utilizes artificial intelligence to identify improved therapies in neuroscience and immuno-oncology. BTI's drug re-innovation approach leverages existing approved drugs and/or clinically validated product candidates together with big data and proprietary machine learning algorithms to identify new therapeutic indices. BTI's two most advanced clinical development programs are BXCL501, a proprietary, orally dissolving, sublingual thin film formulation of the adrenergic receptor agonist dexmedetomidine (“Dex”), for the treatment of agitation and opioid withdrawal symptoms, and BXCL701, an orally administered, systemic innate immune activator for the treatment of aggressive forms of prostate cancer and advanced solid tumors that are refractory or treatment naïve to checkpoint inhibitors.</w:t>
      </w:r>
    </w:p>
    <w:p>
      <w:pPr>
        <w:spacing w:after="0" w:line="192" w:lineRule="exact"/>
        <w:rPr>
          <w:sz w:val="20"/>
          <w:szCs w:val="20"/>
          <w:color w:val="auto"/>
        </w:rPr>
      </w:pPr>
    </w:p>
    <w:p>
      <w:pPr>
        <w:ind w:left="60" w:right="599" w:firstLine="324"/>
        <w:spacing w:after="0" w:line="266" w:lineRule="auto"/>
        <w:rPr>
          <w:sz w:val="20"/>
          <w:szCs w:val="20"/>
          <w:color w:val="auto"/>
        </w:rPr>
      </w:pPr>
      <w:r>
        <w:rPr>
          <w:rFonts w:ascii="Times New Roman" w:cs="Times New Roman" w:eastAsia="Times New Roman" w:hAnsi="Times New Roman"/>
          <w:sz w:val="18"/>
          <w:szCs w:val="18"/>
          <w:color w:val="auto"/>
        </w:rPr>
        <w:t>As used in these financial statements, unless otherwise specified or the context otherwise requires, the terms the “Company” or “BTI” refer to BioXcel Therapeutics, Inc., and “BioXcel” or “Parent” refer to BioXcel LLC and, its predecessor, BioXcel Corporation.</w:t>
      </w:r>
    </w:p>
    <w:p>
      <w:pPr>
        <w:spacing w:after="0" w:line="176" w:lineRule="exact"/>
        <w:rPr>
          <w:sz w:val="20"/>
          <w:szCs w:val="20"/>
          <w:color w:val="auto"/>
        </w:rPr>
      </w:pPr>
    </w:p>
    <w:p>
      <w:pPr>
        <w:ind w:left="60" w:right="759" w:firstLine="324"/>
        <w:spacing w:after="0" w:line="282" w:lineRule="auto"/>
        <w:rPr>
          <w:sz w:val="20"/>
          <w:szCs w:val="20"/>
          <w:color w:val="auto"/>
        </w:rPr>
      </w:pPr>
      <w:r>
        <w:rPr>
          <w:rFonts w:ascii="Times New Roman" w:cs="Times New Roman" w:eastAsia="Times New Roman" w:hAnsi="Times New Roman"/>
          <w:sz w:val="18"/>
          <w:szCs w:val="18"/>
          <w:color w:val="auto"/>
        </w:rPr>
        <w:t>The Company is a minority-owned subsidiary of BioXcel and was incorporated under the laws of the State of Delaware on March 29, 2017. The Company’s principal office is in New Haven, Connecticut.</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unaudited financial information for the three and nine months ended September 30, 2020 and 2019 is presented on the same basis as the financial statements included in the Company’s Annual Report on Form 10-K for the fiscal year ended December 31, 2019. The Company does not have any components of other comprehensive income (loss) recorded within its financial statements, and, therefore, does not separately present a statement of comprehensive income (loss) in its financial statements.</w:t>
      </w:r>
    </w:p>
    <w:p>
      <w:pPr>
        <w:spacing w:after="0" w:line="183"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prior year financial information to conform to the current period presentation. These reclassifications had no effect on the reported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novel strain of coronavirus, a global pandemic. This outbreak has caused and is continuing to cause major disruptions to businesses and financial markets worldwide. This may affect the Company’s operations and those of third parties on which the Company relies, including causing disruptions in the supply of the Company’s product candidates and the conduct of current and planned preclinical and clinical studies. The Company may need to limit its operations and may experience limitations in employee resources. There are risks that the COVID-19 pandemic may be more difficult to contain than currently anticipated in which case the risks described herein could increase significantly. The extent to which the COVID-19 pandemic impacts the Company’s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94"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Additionally, while the potential economic impact brought by, and the duration of, the COVID-19 pandemic is difficult to assess or predict, the impact of the coronavirus on the global financial markets may reduce the Company’s ability to access capital, which could negatively impact the Company’s short-term and long-term liquidity, and the Company’s ability to complete its preclinical and clinical studies on a timely basis, or at all. The ultimate impact of COVID-19 is highly uncertain and subject to change. The Company does not yet know the full extent of potential delays or impacts on its business, financing, preclinical and clinical trial activities or the global economy as a whole. However,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these effects could have a material, adverse impact on the Company’s liquidity, capital resources, operations and business and those of the third parties on which the Company relies.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ind w:left="60" w:right="179" w:firstLine="500"/>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do not include all of the information and footnotes required by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2020, the results of its operations for the three and nine months ended September 30, 2020 and 2019 and its cash flows for the three and nine months ended September 30, 2020 and 2019, respectively. The results for the three and nine months ended September 30, 2020 are not necessarily indicative of results to be expected for the year ending December 31, 2020, any other interim periods or any future year or period. The accompanying unaudited financial statements of the Company should be read in conjunction with the audited financial statements and notes as of and for the year ended December 31, 2019 included in the Company’s Annual Report on Form 10-K for the fiscal year ended December 31, 2019 filed with the Securities and Exchange Commission (the “SEC”) on March 9, 2020.</w:t>
      </w:r>
    </w:p>
    <w:p>
      <w:pPr>
        <w:spacing w:after="0" w:line="190" w:lineRule="exact"/>
        <w:rPr>
          <w:sz w:val="20"/>
          <w:szCs w:val="20"/>
          <w:color w:val="auto"/>
        </w:rPr>
      </w:pPr>
    </w:p>
    <w:p>
      <w:pPr>
        <w:ind w:left="60" w:right="119" w:firstLine="50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amounts reported in the financial statements and notes thereto. The Company believes that its existing cash and cash equivalents will be sufficient to cover its cash flow requirements for at least the next twelve months from the issuance of these financial statements. However the Company’s future requirements may change and will depend on numerous factors.</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our financial statements requires us to make estimates, judgments and assumptions that may affect the reported amounts of assets, liabilities, equity and expenses. We base our estimates on historical experience and on various other assumptions that we believe are reasonable, the results of which form the basis for making judgments about the carrying values of assets, liabilities and equity and the amount of expenses.</w:t>
      </w:r>
    </w:p>
    <w:p>
      <w:pPr>
        <w:spacing w:after="0" w:line="180" w:lineRule="exact"/>
        <w:rPr>
          <w:sz w:val="20"/>
          <w:szCs w:val="20"/>
          <w:color w:val="auto"/>
        </w:rPr>
      </w:pPr>
    </w:p>
    <w:p>
      <w:pPr>
        <w:ind w:left="60" w:right="99" w:firstLine="324"/>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2020, the novel coronavirus disease, or COVID-19, was declared a pandemic and spread across the globe, including the United States and Europe.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full extent to which the COVID-19 pandemic will directly or indirectly impact our business, results of operations and financial condition, including expenses, reserves and allowances, clinical trials, research and development costs and employee-related amounts, will depend on future developments that are highly uncertain, including as a result of new information that may emerge concerning COVID-19 and the actions taken to contain or treat COVID-19, as well as the economic impact on local, regional, national and international customers and markets.</w:t>
      </w:r>
    </w:p>
    <w:p>
      <w:pPr>
        <w:spacing w:after="0" w:line="177"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have evaluated the impact of COVID-19 within our financial statements and given the daily evolution of the COVID-19 outbreak and the global responses to curb its spread, we are not able to estimate the effects of the COVID-19 outbreak on our results of operations, financial condition, or liquidity. The financial statements do not reflect any adjustments as a result of the pandemic but there may be changes to the current estimates in future periods.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September 30, 2020, cash equivalents were comprised of money market funds. Cash and cash equivalents held at financial institutions may at times exceed federally insured amounts. We believe we mitigate such risk by investing in or through major financial institutions.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Offering Costs</w:t>
      </w:r>
    </w:p>
    <w:p>
      <w:pPr>
        <w:spacing w:after="0" w:line="229"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the equity financing was consummated. After consummation of an equity financing, these costs were recorded in stockholders’ equity as a reduction of proceeds generated as a result of the offering.</w:t>
      </w:r>
    </w:p>
    <w:p>
      <w:pPr>
        <w:spacing w:after="0" w:line="180"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Effective September 22, 2019, the Company terminated its At-The-Market (“ATM”) program. All costs associated with this program have been amortized and charged to additional paid-in-capital.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Equipment consists of computers and related equipment that are stated at cost and depreciated using the straight-line method over estimated useful life of 3-5 years. Furniture is being depreciated using the straight-line method over approximately 7 years. Leasehold improvements are being amortized over the shorter of the life of the lease or the asset.</w:t>
      </w:r>
    </w:p>
    <w:p>
      <w:pPr>
        <w:spacing w:after="0" w:line="1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follows the guidance provided by the Financial Accounting Standards Board (“FASB”) ASC Topic 360-10,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Since its inception, the Company has not recognized any impairment or disposition of long lived assets.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other current liabilities, and operating lease liabilities in our balance sheet.</w:t>
      </w:r>
    </w:p>
    <w:p>
      <w:pPr>
        <w:spacing w:after="0" w:line="162"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our lease did not provide an implicit rate, we used an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Renewal options were not included in our calculation of the related asset and liability. Lease expense for lease payments is recognized on a straight-line basis over the lease term.</w:t>
      </w:r>
    </w:p>
    <w:p>
      <w:pPr>
        <w:spacing w:after="0" w:line="186" w:lineRule="exact"/>
        <w:rPr>
          <w:sz w:val="20"/>
          <w:szCs w:val="20"/>
          <w:color w:val="auto"/>
        </w:rPr>
      </w:pPr>
    </w:p>
    <w:p>
      <w:pPr>
        <w:ind w:left="60" w:right="479"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w:t>
      </w:r>
      <w:r>
        <w:rPr>
          <w:rFonts w:ascii="Times New Roman" w:cs="Times New Roman" w:eastAsia="Times New Roman" w:hAnsi="Times New Roman"/>
          <w:sz w:val="18"/>
          <w:szCs w:val="18"/>
          <w:i w:val="1"/>
          <w:iCs w:val="1"/>
          <w:color w:val="auto"/>
        </w:rPr>
        <w:t>ASU 2016-02 Lease Accounting Topic 842</w:t>
      </w:r>
      <w:r>
        <w:rPr>
          <w:rFonts w:ascii="Times New Roman" w:cs="Times New Roman" w:eastAsia="Times New Roman" w:hAnsi="Times New Roman"/>
          <w:sz w:val="18"/>
          <w:szCs w:val="18"/>
          <w:color w:val="auto"/>
        </w:rPr>
        <w:t xml:space="preserve"> in January 2019 and recorded a ROU asset and related liability in the amount of $1,308 on commencement of a new office lease.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which requires the measurement and recognition of compensation expense based on estimated fair market values for all share-based awards made to employees and directors, including stock options. The Company’s 2017 Equity Incentive Plan (the “2017 Stock Plan”) became effective in August 2017. The Company’s 2020 Incentive Award Plan (the “2020 Stock Plan”) became effective in May 2020. Following the effective date of the Company’s 2020 Incentive Award Plan, the Company ceased granting awards under the 2017 Equity Incentive Plan; however the terms and conditions of the 2017 Equity Incentive Plan continue to govern any outstanding awards granted thereunder.</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Both BioXcel and the Company’s stock option awards are valued at fair value on the date of grant and that fair value is recognized as expense over the requisite service period. The Company utilizes the Black-Scholes option pricing model for determining the estimated fair value for stock-based awards. The Black Scholes model requires the use of assumptions which determine the fair value of the stock-based awards. Determining the fair value of stock-based awards at the grant date requires significant judgment, including estimating the expected term of the stock options, the expected volatility of our stock and expected dividends. Stock awards granted by the Company subsequent to its March 2018 initial public offering (“IPO”) are valued using market prices at the date of grant. Significant judgement and estimates were used to estimate the fair value of these awards, as the shares of common stock underlying these awards were not then publicly traded. The Company has elected to account for forfeitures as they occur, by reversing compensation cost when the award is forfeited.</w:t>
      </w:r>
    </w:p>
    <w:p>
      <w:pPr>
        <w:spacing w:after="0" w:line="192" w:lineRule="exact"/>
        <w:rPr>
          <w:sz w:val="20"/>
          <w:szCs w:val="20"/>
          <w:color w:val="auto"/>
        </w:rPr>
      </w:pPr>
    </w:p>
    <w:p>
      <w:pPr>
        <w:ind w:left="60" w:right="279"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FASB ASU 2018-07,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as of January 1, 2019 which allows non-employee options to be expensed using the adoption date fair value.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wages, benefits, facilities, supplies, external services, clinical study and manufacturing costs and other expenses that are directly related to the Company’s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Expenses Accrued Under Contractual Arrangements</w:t>
      </w:r>
    </w:p>
    <w:p>
      <w:pPr>
        <w:spacing w:after="0" w:line="229" w:lineRule="exact"/>
        <w:rPr>
          <w:sz w:val="20"/>
          <w:szCs w:val="20"/>
          <w:color w:val="auto"/>
        </w:rPr>
      </w:pPr>
    </w:p>
    <w:p>
      <w:pPr>
        <w:ind w:left="60" w:right="259" w:firstLine="324"/>
        <w:spacing w:after="0" w:line="273" w:lineRule="auto"/>
        <w:rPr>
          <w:sz w:val="20"/>
          <w:szCs w:val="20"/>
          <w:color w:val="auto"/>
        </w:rPr>
      </w:pPr>
      <w:r>
        <w:rPr>
          <w:rFonts w:ascii="Times New Roman" w:cs="Times New Roman" w:eastAsia="Times New Roman" w:hAnsi="Times New Roman"/>
          <w:sz w:val="17"/>
          <w:szCs w:val="17"/>
          <w:color w:val="auto"/>
        </w:rPr>
        <w:t>As part of the process of preparing our financial statements, we are required to estimate our accrued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w:t>
      </w:r>
    </w:p>
    <w:p>
      <w:pPr>
        <w:spacing w:after="0" w:line="171"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 research institutions and contract research organizations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expenses, we estimate the time period over which services will be performed and the level of effort to be expended in each period, which is based on an established protocol specific to each clinical trial. If the actual timing of the performance of services or the level of effort varies from our estimate, we adjust the accrual accordingly. Although we do not expect our estimates to be materially different from amounts actually incurred, our understanding of the status and timing of services performed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relative to the actual status and timing of services performed may vary and may result in us reporting amounts that are too high or too low in any particular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29"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as general and administrative expense and expensed as incurred since recoverability of such expenditures is uncertain.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90" w:lineRule="exact"/>
        <w:rPr>
          <w:sz w:val="20"/>
          <w:szCs w:val="20"/>
          <w:color w:val="auto"/>
        </w:rPr>
      </w:pPr>
    </w:p>
    <w:p>
      <w:pPr>
        <w:ind w:left="700" w:right="319" w:hanging="326"/>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that are accessible at the measurement date for assets or liabilities. The fair value hierarchy gives the highest priority to Level 1 inputs.</w:t>
      </w:r>
    </w:p>
    <w:p>
      <w:pPr>
        <w:spacing w:after="0" w:line="161" w:lineRule="exact"/>
        <w:rPr>
          <w:rFonts w:ascii="Times New Roman" w:cs="Times New Roman" w:eastAsia="Times New Roman" w:hAnsi="Times New Roman"/>
          <w:sz w:val="18"/>
          <w:szCs w:val="18"/>
          <w:color w:val="auto"/>
        </w:rPr>
      </w:pPr>
    </w:p>
    <w:p>
      <w:pPr>
        <w:ind w:left="700" w:right="99" w:hanging="326"/>
        <w:spacing w:after="0" w:line="25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87" w:lineRule="exact"/>
        <w:rPr>
          <w:rFonts w:ascii="Times New Roman" w:cs="Times New Roman" w:eastAsia="Times New Roman" w:hAnsi="Times New Roman"/>
          <w:sz w:val="18"/>
          <w:szCs w:val="18"/>
          <w:color w:val="auto"/>
        </w:rPr>
      </w:pPr>
    </w:p>
    <w:p>
      <w:pPr>
        <w:jc w:val="both"/>
        <w:ind w:left="700" w:right="279" w:hanging="326"/>
        <w:spacing w:after="0" w:line="26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76"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76"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payable and accrued expenses approximate fair value due to the short-term nature of these instruments.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computes basic earnings (loss) per share (“EPS”) by dividing net loss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Securities that could potentially dilute EPS in the future were not included in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computation of EPS because to do so would be antidilutive. The calculations of basic and diluted net loss per share are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6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3"/>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8"/>
                <w:szCs w:val="18"/>
                <w:color w:val="auto"/>
              </w:rPr>
            </w:pPr>
          </w:p>
        </w:tc>
        <w:tc>
          <w:tcPr>
            <w:tcW w:w="168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9"/>
        </w:trPr>
        <w:tc>
          <w:tcPr>
            <w:tcW w:w="5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 in thousands (denominator)</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23,050</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15,695</w:t>
            </w:r>
          </w:p>
        </w:tc>
      </w:tr>
      <w:tr>
        <w:trPr>
          <w:trHeight w:val="20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312" w:lineRule="auto"/>
        <w:rPr>
          <w:sz w:val="20"/>
          <w:szCs w:val="20"/>
          <w:color w:val="auto"/>
        </w:rPr>
      </w:pPr>
      <w:r>
        <w:rPr>
          <w:rFonts w:ascii="Times New Roman" w:cs="Times New Roman" w:eastAsia="Times New Roman" w:hAnsi="Times New Roman"/>
          <w:sz w:val="17"/>
          <w:szCs w:val="17"/>
          <w:color w:val="auto"/>
        </w:rPr>
        <w:t>Potentially dilutive securities outstanding consists solely of stock options. The Company had stock options outstanding to purchase 3,833,501 and 3,092,122 shares of common stock as of September 30, 2020 and 2019, respectively.</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which amends the existing guidance relating to the accounting for income taxes. This ASU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ASU is effective for fiscal years beginning after December 15, 2020. The Company does not expect that the adoption of this new guidance will have a material impact on the Company’s Financial Statements.</w:t>
      </w: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Transactions with BioXcel</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entered into the Amended and Restated Asset Contribution Agreement, pursuant to which BioXcel agreed to contribute BioXcel’s rights, title and interest in BXCL501, BXCL701, BXCL502 and BXCL702, and all of the assets and liabilities associated in consideration for (i) 9,480,000 shares of our common stock, (ii) $1,000 upon completion of an initial public offering, (iii) $500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proof of concept open label monotherapy or combination trial with Keytruda for the BXCL701 program and (v) a one-time payment of $5,000 within 60 days after the achievement of $50,000 in cumulative net sales of any product or combination of products resulting from the development and commercialization of any one of the Candidates or a product derived therefrom. With the completion of the Company’s IPO in March 2018, $1,000 was charged to Research and Development costs in connection with (ii) above and was paid on April 5, 2018. The Company paid $500 to BioXcel in connection with (iii) above in April 2019. In July 2019, the Company completed the first dosing of a patient in the combination trial of BXCL701 with Keytruda, and as a result the Company paid $500 to BioXcel in connection with (iv) above in July 2019.</w:t>
      </w:r>
    </w:p>
    <w:p>
      <w:pPr>
        <w:spacing w:after="0" w:line="187"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that took effect on June 30, 2017, as amended and restated on November 7, 2017 and March 6, 2020, or the Services Agreement, pursuant to which BioXcel will allow us to continue to use the office space, equipment, services and leased employees based on the agreed upon terms and conditions for a payment of defined monthly and/or hourly fees. The office space and equipment portion of the Services Agreement ended effectively on April 30, 2018 when the Company moved to new office space to accommodate additional personnel that had been hired. Services provided by BioXcel through its subsidiaries in India and the United States will continue indefinitely, as agreed upon by the parties. These services are primarily for drug discovery and for chemical, manufacturing and controls cost. Service charges recorded under this agreement were $270 and $173 for the three months ended September 30, 2020 and 2019, respectively. Service charges recorded under this agreement were $926 and $689 for the nine months ended September 30, 2020 and 2019,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Under the Services Agreement, the Company has an option, exercisable until December 31, 2020, to enter into a collaborative services agreement with BioXcel pursuant to which BioXcel shall perform product identification and related services for us utilizing EvolverAI. The parties are obligated to negotiate the collaborative services agreement in good faith and to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 The parties are currently discussing extending the product identification and related services that BioXcel would provide under the collaborative services agreement, however, as of the date hereof, we have not reached a definitive agreement.</w:t>
      </w:r>
    </w:p>
    <w:p>
      <w:pPr>
        <w:spacing w:after="0" w:line="192"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Company paid $9,024 in February 2020 for the purchase and subsequent cancellation of 300,000 shares owned by BioXcel, which is more fully discussed below under Note 7 to these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Property &amp;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gridSpan w:val="4"/>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related equipment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260</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1,261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Accrued Expenses and Other Current Liabilities</w:t>
            </w: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62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expenses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Other current liabilities as of September 30, 2020 includes $210 for the current portion of operating lease liabilities and $468 for the financing of insurance premiums.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Authorized Capital</w:t>
      </w:r>
    </w:p>
    <w:p>
      <w:pPr>
        <w:spacing w:after="0" w:line="225"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10,000,000 preferred shares with a par value of $0.001 per share. No preferred shares are issued and outstanding.</w:t>
      </w:r>
    </w:p>
    <w:p>
      <w:pPr>
        <w:spacing w:after="0" w:line="162"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50,000,000 shares of common stock with a par value of $0.001 per share. The Company had 24,354,882 and 18,087,382 shares of common stock outstanding as of September 30, 2020 and December 31, 2019,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Description of Common Stock</w:t>
      </w:r>
    </w:p>
    <w:p>
      <w:pPr>
        <w:spacing w:after="0" w:line="225"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Each share of common stock has the right to one vote. The holders of common stock are entitled to dividends when funds are legally available and when declared by the board of directors.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Common Stock Issuances</w:t>
      </w:r>
    </w:p>
    <w:p>
      <w:pPr>
        <w:spacing w:after="0" w:line="225"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On May 20, 2019, the Company entered into an Open Market Sale Agreement (the “Sale Agreement”) with Jefferies LLC (“Jefferies”) pursuant to which the Company may offer and sell shares of its common stock, par value $0.001 per share (the “Common Stock”), having an initial offering price no greater than $20.0 million (the “Shares”), from time to time, through an “at the market offering” program under which Jefferies will act as sales agent. The Company sold 66,193 shares under the Sale Agreement for proceeds of $387, net of issuance costs of $350. The Sale Agreement was terminated by the Company on September 22, 2019.</w:t>
      </w:r>
    </w:p>
    <w:p>
      <w:pPr>
        <w:spacing w:after="0" w:line="18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On September 26, 2019, the Company entered into an underwriting agreement with several underwriters in connection with the issuance and sale by the Company in a public offering of 2,303,030 shares of the Company’s common stock at a public offering price of $8.25 per share, less underwriting discounts and commissions, pursuant to an effective shelf registration statement on Form S-3 (Registration No. 333-230674) and a related prospectus supplement filed with the SEC (the “September 2019 Offering”). The September 2019 Offering closed on September 30, 2019. The Company received proceeds of approximately $17,423, net of issuance costs of $1,577 from the September 2019 Offering.</w:t>
      </w:r>
    </w:p>
    <w:p>
      <w:pPr>
        <w:spacing w:after="0" w:line="18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February 2020, the Company sold in a registered offering 2,300,000 shares of its common stock at a public offering price of $32.00 per share for gross proceeds of $73,600 less underwriting discounts and commissions. The Company received proceeds of approximately $68,811, net of issuance costs of $4,789. The Company used $9,024 of the proceeds to purchase and cancel 300,000 shares of common stock from BioXcel.</w:t>
      </w:r>
    </w:p>
    <w:p>
      <w:pPr>
        <w:spacing w:after="0" w:line="180"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July 2020, the Company sold in a registered offering 4,000,000 shares of its common stock at a public offering price of $50.00 per share for gross proceeds of $200,000 less underwriting discounts and commissions. The Company received proceeds of approximately $187,008, net of issuance costs of $12,992. Under the terms of the Underwriting Agreement entered into by the Company in connection with the July 2020 offering, certain stockholders of the Company granted the underwriters an option exercisable for thirty days to purchase up to an additional 600,000 shares of common stock at the public offering price less underwriting discounts and commissions. The Company did not receive any of the proceeds from any sale of shares in the offering by such stockholders. The Company intends to use the net proceeds of the offering to fund ongoing clinical trials, commercialization preparation and for general corporate purposes.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Stock Plan became effective in August 2017. Following the effective date of the Company's 2020 Stock Plan (as defined below), the Company ceased granting awards under the 2017 Stock Plan; however the terms and conditions of the 2017 Stock Plan continue to govern any outstanding awards granted thereunder.</w:t>
      </w:r>
    </w:p>
    <w:p>
      <w:pPr>
        <w:spacing w:after="0" w:line="1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Company’s 2020 Stock Plan was approved and became effective at the Company’s 2020 annual meeting of Shareholders on May 20, 2020. The 2020 Stock Plan authorizes for issuance the sum of (i) 911,000 shares of the Company’s common stock authorized for issuance and 231,941 shares of the Company’s common stock which represents the number of shares that remained available for issuance under the 2017 Stock Plan immediately prior to the approval of the 2020 Stock Plan by the Company’s shareholders. Any shares of Common Stock which, as of immediately prior to the approval of the 2020 Stock Plan by the Company’s shareholders, are subject to awards granted under the 2017 Stock Plan that are forfeited or lapse unexercised and are not issued under the 2017 Stock Plan will increase the number of shares of common stock available for grant under the 2020 Stock Plan. In addition, the number of shares available for issuance under the 2020 Stock Plan will increase on the first day of each calendar year beginning January 1, 2021 and ending on and including January 1, 2030 by a number of shares equal to the lesser of (A) 4%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aggregate number of shares of the Company’s common stock outstanding of the immediately preceding calendar year and (B) such smaller number of shares of common stock as is determined by the Board of Directors.</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Company’s 2020 Employee Stock Purchase Plan (“ESPP”) was also approved and became effective at the Company’s 2020 annual meeting of Shareholders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100,000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The number of shares that may be issued or transferred pursuant to rights granted under the component of the ESPP that is intended to qualify for favorable U.S. federal tax treatment under Section 423 of the Internal Revenue Code (the “Section 423 Component”) shall not exceed 500,000 shares. The purchase price will be determined by the administrator of the ESPP and, for purposes of the Section 423 Component, shall not be less than 85% of the fair market value of a share on the first trading day or on the last trading day of the applicable offering period, whichever is lower. To date, no shares have been sold under the ESPP.</w:t>
      </w:r>
    </w:p>
    <w:p>
      <w:pPr>
        <w:spacing w:after="0" w:line="197"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there were 4,018,547 shares of the Company’s common stock authorized for issuance under the 2017 Stock Plan and the 2020 Stock Plan (collectively, the “Stock Compensation Plans”). Options granted under the Stock Compensation Plans have a term of ten years with vesting terms determined by the board of directors, which is generally four years.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2020, there were 185,046 shares available to be granted under the 2020 Stock Plan.</w:t>
      </w:r>
    </w:p>
    <w:p>
      <w:pPr>
        <w:spacing w:after="0" w:line="185"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during the nine months ended September 30, 2020 was estimated using the Black-Scholes option-pricing model with the following assumptions.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$ 61.48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grants per share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$ 44.55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Prior to the Company’s IPO, it did not have a history of market prices of its common stock and, as such, volatility was estimated using historical volatilities of similar public companies. The expected term of the options granted to employees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term of options granted to non-employee service providers represents the contractual term of the option.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stock option activity under the Stock Compensation Plans for the nine months ended September 30, 2020 (in thousands, except share and per share data):</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3,058,349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forfeited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3,833,501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vested and exercisable as of</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2,253,185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92,399</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under the Stock Compensation Plans of $7,979 and $2,427 for the nine months ended September 30, 2020 and 2019, respectively.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total grant-date fair value of options was $35,848 for the nine months ended September 30, 2020.</w:t>
      </w:r>
    </w:p>
    <w:p>
      <w:pPr>
        <w:spacing w:after="0" w:line="185" w:lineRule="exact"/>
        <w:rPr>
          <w:sz w:val="20"/>
          <w:szCs w:val="20"/>
          <w:color w:val="auto"/>
        </w:rPr>
      </w:pPr>
    </w:p>
    <w:p>
      <w:pPr>
        <w:jc w:val="both"/>
        <w:ind w:left="60" w:right="879" w:firstLine="324"/>
        <w:spacing w:after="0" w:line="312" w:lineRule="auto"/>
        <w:rPr>
          <w:sz w:val="20"/>
          <w:szCs w:val="20"/>
          <w:color w:val="auto"/>
        </w:rPr>
      </w:pPr>
      <w:r>
        <w:rPr>
          <w:rFonts w:ascii="Times New Roman" w:cs="Times New Roman" w:eastAsia="Times New Roman" w:hAnsi="Times New Roman"/>
          <w:sz w:val="17"/>
          <w:szCs w:val="17"/>
          <w:color w:val="auto"/>
        </w:rPr>
        <w:t>As of September 30, 2020, the total compensation expenses not yet recognized in the financial statements is approximately $35,424, and the weighted average period over which it is expected to be recognized is 1.7 years.</w:t>
      </w:r>
    </w:p>
    <w:p>
      <w:pPr>
        <w:spacing w:after="0" w:line="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BioXcel Charges</w:t>
      </w:r>
    </w:p>
    <w:p>
      <w:pPr>
        <w:spacing w:after="0" w:line="200" w:lineRule="exact"/>
        <w:rPr>
          <w:sz w:val="20"/>
          <w:szCs w:val="20"/>
          <w:color w:val="auto"/>
        </w:rPr>
      </w:pPr>
    </w:p>
    <w:p>
      <w:pPr>
        <w:ind w:left="60" w:right="139" w:firstLine="359"/>
        <w:spacing w:after="0" w:line="255" w:lineRule="auto"/>
        <w:rPr>
          <w:sz w:val="20"/>
          <w:szCs w:val="20"/>
          <w:color w:val="auto"/>
        </w:rPr>
      </w:pPr>
      <w:r>
        <w:rPr>
          <w:rFonts w:ascii="Times New Roman" w:cs="Times New Roman" w:eastAsia="Times New Roman" w:hAnsi="Times New Roman"/>
          <w:sz w:val="18"/>
          <w:szCs w:val="18"/>
          <w:color w:val="auto"/>
        </w:rPr>
        <w:t>BioXcel has granted stock options to its employees under its own Equity Incentive Plan (“BioXcel Plan”). Stock-based compensation expense from the BioXcel Plan is allocated to the Company over the period over which those stock option awards vest and are based on the percentage of time spent on Company activities compared to BioXcel activities, which is the same basis used for allocation of salary costs. 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Significant judgment and estimates were used to estimate the fair value of these awards, as they are not publicly traded.</w:t>
      </w:r>
    </w:p>
    <w:p>
      <w:pPr>
        <w:spacing w:after="0" w:line="148" w:lineRule="exact"/>
        <w:rPr>
          <w:sz w:val="20"/>
          <w:szCs w:val="20"/>
          <w:color w:val="auto"/>
        </w:rPr>
      </w:pPr>
    </w:p>
    <w:p>
      <w:pPr>
        <w:ind w:left="60" w:right="339" w:firstLine="36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net of forfeitures, recognized by the Company in its statements of operations related to BioXcel equity awards totaled approximately $21 and $61 for the nine months ended September 30, 2020 and 2019, respectively.</w:t>
      </w:r>
    </w:p>
    <w:p>
      <w:pPr>
        <w:spacing w:after="0" w:line="135" w:lineRule="exact"/>
        <w:rPr>
          <w:sz w:val="20"/>
          <w:szCs w:val="20"/>
          <w:color w:val="auto"/>
        </w:rPr>
      </w:pPr>
    </w:p>
    <w:p>
      <w:pPr>
        <w:ind w:left="60" w:right="119" w:firstLine="359"/>
        <w:spacing w:after="0" w:line="281" w:lineRule="auto"/>
        <w:rPr>
          <w:sz w:val="20"/>
          <w:szCs w:val="20"/>
          <w:color w:val="auto"/>
        </w:rPr>
      </w:pPr>
      <w:r>
        <w:rPr>
          <w:rFonts w:ascii="Times New Roman" w:cs="Times New Roman" w:eastAsia="Times New Roman" w:hAnsi="Times New Roman"/>
          <w:sz w:val="17"/>
          <w:szCs w:val="17"/>
          <w:color w:val="auto"/>
        </w:rPr>
        <w:t>Total stock-based compensation charges were approximately $8,000 and $2,488 for the nine months ended September 30, 2020 and 2019, respectively. The Company charged $3,587 and $4,413 to research and development and general and administrative expense for the nine months ended September 30, 2020. The Company charged $1,449 and $1,039 to research and development and general and administrative expense for the nine months ended September 30, 2019.</w:t>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89" w:lineRule="exact"/>
        <w:rPr>
          <w:sz w:val="20"/>
          <w:szCs w:val="20"/>
          <w:color w:val="auto"/>
        </w:rPr>
      </w:pPr>
    </w:p>
    <w:p>
      <w:pPr>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In August 2018, the Company entered into an agreement to lease approximately 11,040 square feet of space on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of the building located at 555 Long Wharf Drive, New Haven, Connecticut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Lease) which was effective February 22, 2019.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Lease expires in February 2026.</w:t>
      </w:r>
    </w:p>
    <w:p>
      <w:pPr>
        <w:spacing w:after="0" w:line="72" w:lineRule="exact"/>
        <w:rPr>
          <w:sz w:val="20"/>
          <w:szCs w:val="20"/>
          <w:color w:val="auto"/>
        </w:rPr>
      </w:pPr>
    </w:p>
    <w:p>
      <w:pPr>
        <w:ind w:left="60" w:right="459" w:firstLine="324"/>
        <w:spacing w:after="0" w:line="220" w:lineRule="auto"/>
        <w:rPr>
          <w:sz w:val="20"/>
          <w:szCs w:val="20"/>
          <w:color w:val="auto"/>
        </w:rPr>
      </w:pPr>
      <w:r>
        <w:rPr>
          <w:rFonts w:ascii="Times New Roman" w:cs="Times New Roman" w:eastAsia="Times New Roman" w:hAnsi="Times New Roman"/>
          <w:sz w:val="17"/>
          <w:szCs w:val="17"/>
          <w:color w:val="auto"/>
        </w:rPr>
        <w:t>In August 2020, the Company entered into an amendment to the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Lease wherein the Company leased an additional 7,245 square feet of space on the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of the building located at 555 Long Wharf Drive, New Haven, Connecticut (the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Lease Amendment”). The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Lease Amendment expires in February 2026.</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future minimum annual lease payments under these operating leases as of September 30, 2020 are as follows: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operating lease liability</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the Company’s operating lease liability of $210 as of September 30, 2020 is included in other current liabilities on the balance sheet.</w:t>
      </w:r>
    </w:p>
    <w:p>
      <w:pPr>
        <w:spacing w:after="0" w:line="13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lease expense of $237 and $155 related to its operating lease right-of-use asset for the nine months ended September 30, 2020 and 2019, respectively.</w:t>
      </w:r>
    </w:p>
    <w:p>
      <w:pPr>
        <w:spacing w:after="0" w:line="121"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Company has an option to renew the leases for one additional five-year term at 95% of the then-prevailing market rates but not less than the rental rate at the end of the initial lease term.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Borrowing</w:t>
      </w:r>
    </w:p>
    <w:p>
      <w:pPr>
        <w:spacing w:after="0" w:line="22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received funds under the Paycheck Protection Program of the CARES Act in April 2020 in the amount of $537. The application for these funds requires the Company to, in good faith, certify that the current economic uncertainty made the loan request necessary to support the ongoing operations of the Company. On April 23, 2020, the Small Business Administration issued a new FAQ #31, which provided guidance on what it means to certify that: “current economic uncertainty makes this loan request necessary to support the ongoing operations of the Applicant.” Following review of this new FAQ #31 the Company decided to withdraw from the Paycheck Protection Program and has repaid the loan in full together with all accrued interest.</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02"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Deferred income tax assets and liabilities are recognized for the estimated future tax consequences attributable to differences between the financial reporting and tax bases of assets and liabilities and are measured using enacted tax rates in effect for the year in which those temporary differences are expected to be recovered or settled. A valuation allowance is provided for the amount of deferred tax assets that, based on available evidence, are not expected to be realized.</w:t>
      </w:r>
    </w:p>
    <w:p>
      <w:pPr>
        <w:spacing w:after="0" w:line="13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Company’s cumulative losses, management has concluded that a full valuation allowance against the Company’s net deferred tax assets is appropriate. No income tax liabilities existed as of September 30, 2020 and December 31, 2019 due to the Company’s continuing operating losses.</w:t>
      </w:r>
    </w:p>
    <w:p>
      <w:pPr>
        <w:spacing w:after="0" w:line="17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enacted on March 27, 2020 temporarily modifies the federal income tax rules on net operating losses incurred in 2018, 2019, and 2020. Under the CARES Act, a taxpayer that incurs in 2020 or has incurred during 2019 or 2018 a net operating loss (“NOL”) is permitted to carryback such NOL to the prior five years to offset prior year income to claim a tax refund of previously paid federal income taxes. As a result of the Company’s losses since inception it would not benefit from this provision. The CARES Act retroactively suspends the 80% income limitation on use of NOL carryovers for taxable years beginning before January 1, 2021 and allows for 100% of any such taxable income to be offset by the amount of such NOL carryforward. This 80% income limitation is reinstated for tax years beginning after December 31,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9" w:lineRule="exact"/>
        <w:rPr>
          <w:sz w:val="20"/>
          <w:szCs w:val="20"/>
          <w:color w:val="auto"/>
        </w:rPr>
      </w:pPr>
    </w:p>
    <w:p>
      <w:pPr>
        <w:ind w:left="60" w:right="499" w:firstLine="324"/>
        <w:spacing w:after="0" w:line="292" w:lineRule="auto"/>
        <w:rPr>
          <w:sz w:val="20"/>
          <w:szCs w:val="20"/>
          <w:color w:val="auto"/>
        </w:rPr>
      </w:pPr>
      <w:r>
        <w:rPr>
          <w:rFonts w:ascii="Times New Roman" w:cs="Times New Roman" w:eastAsia="Times New Roman" w:hAnsi="Times New Roman"/>
          <w:sz w:val="17"/>
          <w:szCs w:val="17"/>
          <w:color w:val="auto"/>
        </w:rPr>
        <w:t>From time to time, in the ordinary course of business, the Company may be subject to litigation and regulatory examinations as well as information gathering requests, inquiries and/or investigations. The Company is not currently subject to any matters where it believes there is a reasonable possibility that a material loss may be incurred. As of September 30, 2020, there were no matters which would have a material impact on the Company’s financial results.</w:t>
      </w:r>
    </w:p>
    <w:p>
      <w:pPr>
        <w:spacing w:after="0" w:line="3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Subsequent Event</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a Clinical Trial Collaboration Agreement (the “Collaboration Agreement”) with Nektar Therapeutics, a Delaware corporation, on September 21, 2018 (“Nektar”), pursuant to which the parties had agreed to jointly collaborate to conduct a Phase 1/2 clinical trial evaluating a combination therapy using BXCL701 as a potential therapy for pancreatic cancer and such other clinical trials evaluating the combined therapy as agreed by the parties. The BXCL701 phase of the triple combination study of BXCL701 was planned to initiate following Nektar and Pfizer’s Phase 1B dose-escalation trial, which was delayed. As a result, the parties agreed to discontinue activities on the triple combination study and instead reallocate resources to other studies and development programs, and the parties terminated the Collaboration Agreement, effective November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appearing elsewhere in this Quarterly Report on Form 10-Q and the audited financial statements and related notes contained in our Annual Report on Form 10-K for the year ended December 31, 2019. Some of the information contained in this discussion and analysis or set forth elsewhere in this Quarterly Report, such as information with respect to our plans and strategy for our business and expectations related to the clinical development of our product candidates, includes forward-looking statements that involve risks and uncertainties. As a result of many factors, including those factors set forth in the “Summary Risk Factors” and “Risk Factors” sections of this Quarterly Report, our actual results could differ materially from the results described in, or implied by, the forward-looking statements contained in the following discussion and analysis.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All dollar amounts in this discussion and analysis are to the nearest thousand unless otherwise noted.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drug development that utilizes artificial intelligence to identify improved therapies in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substantial unmet medical need.</w:t>
      </w:r>
    </w:p>
    <w:p>
      <w:pPr>
        <w:spacing w:after="0" w:line="183"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Our two most advanced clinical development programs are BXCL501, a proprietary, orally dissolving, sublingual thin film formulation of the adrenergic receptor agonist dexmedetomidine (“Dex”), for the treatment of agitation and opioid withdrawal symptoms, and BXCL701, an orally administered systemic innate immune activator for the treatment of aggressive forms of prostate cancer and advanced solid tumors that are refractory or treatment naïve to checkpoint inhibitors.</w:t>
      </w:r>
    </w:p>
    <w:p>
      <w:pPr>
        <w:spacing w:after="0" w:line="183"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During the first quarter ended March 31, 2020 and continuing through September 30, 2020, the novel coronavirus disease, or COVID-19, was declared a pandemic and spread to multiple regions across the globe, including the United States and Europe.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w:t>
      </w:r>
    </w:p>
    <w:p>
      <w:pPr>
        <w:spacing w:after="0" w:line="18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During the first quarter of 2020 we took steps in line with guidance from the U.S. Centers for Disease Control and Prevention (“CDC”) and the State of Connecticut to protect the health and safety of our employees and the community. In particular, we implemented a work-from-home policy for all employees and have restricted on-site activities to certain chemical, manufacturing and control (“CMC”) and clinical trial activities. We continue to assess the impact of the COVID-19 pandemic to best mitigate risk and continue the operations of our business. Beginning late in the second quarter of 2020 we began to slowly bring our staff, in very limited numbers, back to our office. This modified return-to- work approach is expected to continue through at least December 31, 2020. We have taken steps to protect our workforce and have instituted strict work rules to protect our employees.</w:t>
      </w:r>
    </w:p>
    <w:p>
      <w:pPr>
        <w:spacing w:after="0" w:line="19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continue to work closely with our clinical sites to monitor the potential impact of the evolving COVID-19 pandemic. We remain committed to our clinical programs and development plans. Through September 30, 2020, we have not experienced any significant delays to our ongoing or planned clinical trials, except for challenges in accessing elderly care facilities; however, this could rapidly change.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the status of our clinical development programs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17145</wp:posOffset>
            </wp:positionV>
            <wp:extent cx="5349240" cy="257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BXCL501 Neuroscience Program</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BXCL501 is an investigational, proprietary, orally dissolving, sublingual thin film formulation of Dex, a selective alpha-2a receptor agonist, for the treatment of agitation and opioid withdrawal symptoms. BXCL501 is our most advanced neuroscience clinical program, being developed initially for the treatment of acute agitation in patients with schizophrenia and bipolar disorders. As a selective adrenergic agent with an orally-dissolving</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sublingual thin film route of administration, BXCL501 is designed to be easy to administer and has demonstrated efficacy and safety with a rapid onset of action in multiple clinical studies. BXCL501 is designed with the potential to generate a calming effect without producing excessive sedation. We believe that BXCL501 is highly differentiated from antipsychotics currently used as standard of care, which often produce unwanted side effects such as excessive somnolence and extra-pyramidal motor effects. Managing patient agitation in neuropsychiatric and neurodegenerative disorders represents a significant challenge for physicians and caregivers, and we believe that BXCL501 has the potential to address these challenges while providing an efficient treatment regimen for patients.</w:t>
      </w: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SERENITY I and SERENITY II</w:t>
      </w:r>
    </w:p>
    <w:p>
      <w:pPr>
        <w:spacing w:after="0" w:line="281"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July 2020, we announced topline results from the SERENITY I and II pivotal trials, highlighting BXCL501’s robust efficacy and favorable safety profile in reducing agitation in schizophrenia and bipolar disorder 1 and 2 patients. In October 2020, we had a planned pre-New Drug Application (“NDA”) meeting with the U.S. Food and Drug Administration (“FDA”) to discuss the content and format of our anticipated NDA submission. The FDA also agreed to a rolling review of our NDA, allowing us to submit completed sections of the application early. We have already submitted part of the NDA to the FDA, which included non-clinical and product brand name content, and plan to submit the complete application in the first quarter of 2021.</w:t>
      </w:r>
    </w:p>
    <w:p>
      <w:pPr>
        <w:spacing w:after="0" w:line="18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robust data set from our SERENITY trials establishes a solid foundation for ongoing and future indications.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TRANQUILITY</w:t>
      </w:r>
    </w:p>
    <w:p>
      <w:pPr>
        <w:spacing w:after="0" w:line="227"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In August 2020, we initiated a third dose cohort, 90 mcg, in the TRANQUILITY study, a randomized, double-blind, placebo-controlled, ascending dose adaptive Phase 1b/2 trial of BXCL501 for the acute treatment of agitation associated with geriatric dementia. Based on the findings, we expect to report topline results in the fourth quarter of 2020, or, if deemed appropriate, proceed to an additional dose cohort.</w:t>
      </w:r>
    </w:p>
    <w:p>
      <w:pPr>
        <w:spacing w:after="0" w:line="180"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TRANQUILITY is a foundational study and we believe it will inform a broader clinical development program in dementia with the goal to address the full spectrum of agitation ranging from acute to chronic.</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RELEASE</w:t>
      </w:r>
    </w:p>
    <w:p>
      <w:pPr>
        <w:spacing w:after="0" w:line="227"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August 2020, we announced that the third dose cohort (90 mcg twice a day, 12 hours apart) was currently enrolling in the RELEASE trial. This is a multicenter, randomized, double-blind, placebo-controlled, ascending dose Phase 1b/2 trial designed to evaluate the safety, pharmacokinetics, tolerability, and efficacy of BXCL501 in patients experiencing symptoms of opioid withdrawal. We expect to report topline results from the study in the first quarter of 2021.</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Agitation Associated with Delirium</w:t>
      </w:r>
    </w:p>
    <w:p>
      <w:pPr>
        <w:spacing w:after="0" w:line="227"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In October 2020, we announced that we had received clearance of our Investigational New Drug (“IND”) Application from the FDA for treatment of agitation associated with delirium. We are preparing to initiate a Phase 2 clinical trial evaluating BXCL501 in patients with agitation associated with delirium in intensive care units (“ICU”), including COVID-19 patients, within the next several months. This indication offers potential synergy with the medical and commercial infrastructure being developed to support our first two indications.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Agitation associated with delirium is a serious condition that affects patients in many hospital settings: ICUs, surgical</w:t>
      </w:r>
    </w:p>
    <w:p>
      <w:pPr>
        <w:spacing w:after="0" w:line="27" w:lineRule="exact"/>
        <w:rPr>
          <w:sz w:val="20"/>
          <w:szCs w:val="20"/>
          <w:color w:val="auto"/>
        </w:rPr>
      </w:pPr>
    </w:p>
    <w:p>
      <w:pPr>
        <w:ind w:left="60" w:right="99" w:hanging="10"/>
        <w:spacing w:after="0" w:line="260"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wards, and emergency departments. Currently, there are no FDA-approved medications for delirium or agitation associated with it.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Additional Opportunities</w:t>
      </w:r>
    </w:p>
    <w:p>
      <w:pPr>
        <w:spacing w:after="0" w:line="227"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addition, we are continuing our development of BXCL501, exploring this candidate as a potential treatment option for chronic agitation associated with dementia. We are also developing a single-use intramuscular injection for patients with severe agitation (non-cooperative).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Relative Bioavailability Study</w:t>
      </w:r>
    </w:p>
    <w:p>
      <w:pPr>
        <w:spacing w:after="0" w:line="22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the third quarter of 2020, we analyzed the data from a cross-over study in healthy volunteers comparing the bioavailability of BXCL501 administered sublingually with the film placed drug-side down under the tongue, compared to the film placed drug- side up under the tongue, and administered buccally (placed between the lower lip and gum). Results of this study indicated that:</w:t>
      </w:r>
    </w:p>
    <w:p>
      <w:pPr>
        <w:spacing w:after="0" w:line="193" w:lineRule="exact"/>
        <w:rPr>
          <w:sz w:val="20"/>
          <w:szCs w:val="20"/>
          <w:color w:val="auto"/>
        </w:rPr>
      </w:pPr>
    </w:p>
    <w:p>
      <w:pPr>
        <w:ind w:left="700" w:right="99" w:hanging="326"/>
        <w:spacing w:after="0" w:line="281"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previously reported data, BXCL501 was rapidly absorbed into systemic circulation following drug side down or drug side up sublingual administration or buccal administration of the BXCL501 film;</w:t>
      </w:r>
    </w:p>
    <w:p>
      <w:pPr>
        <w:spacing w:after="0" w:line="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BXCL501 sublingually was shown to be the bioequivalent to administering BXCL501 bucally;</w:t>
      </w:r>
    </w:p>
    <w:p>
      <w:pPr>
        <w:spacing w:after="0" w:line="36" w:lineRule="exact"/>
        <w:rPr>
          <w:rFonts w:ascii="Times New Roman" w:cs="Times New Roman" w:eastAsia="Times New Roman" w:hAnsi="Times New Roman"/>
          <w:sz w:val="18"/>
          <w:szCs w:val="18"/>
          <w:color w:val="auto"/>
        </w:rPr>
      </w:pPr>
    </w:p>
    <w:p>
      <w:pPr>
        <w:ind w:left="700" w:right="239" w:hanging="326"/>
        <w:spacing w:after="0" w:line="281"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BXCL501 with the drug side up under the tongue was shown to be bioequivalent to administering BXCL501 drug side down under the tongue; and</w:t>
      </w:r>
    </w:p>
    <w:p>
      <w:pPr>
        <w:spacing w:after="0" w:line="1" w:lineRule="exact"/>
        <w:rPr>
          <w:rFonts w:ascii="Times New Roman" w:cs="Times New Roman" w:eastAsia="Times New Roman" w:hAnsi="Times New Roman"/>
          <w:sz w:val="18"/>
          <w:szCs w:val="18"/>
          <w:color w:val="auto"/>
        </w:rPr>
      </w:pPr>
    </w:p>
    <w:p>
      <w:pPr>
        <w:ind w:left="700" w:right="339" w:hanging="326"/>
        <w:spacing w:after="0" w:line="313"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were able to drink water starting at 15 minutes following sublingual BXCL501 administration without affecting bioavailability in the subject.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Preparing for Potential Commercial Launch</w:t>
      </w:r>
    </w:p>
    <w:p>
      <w:pPr>
        <w:spacing w:after="0" w:line="22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are assembling a leadership team with significant industry experience to prepare for a potential commercial launch of BXCL501. In June 2020, we announced the hiring of our Chief Commercial Officer and our Chief Development Officer. We continue to expand our core medical and commercial teams in order to build the corporate framework needed for the potential commercialization of BXCL501.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BXCL701 Immuno-Oncology Program</w:t>
      </w:r>
    </w:p>
    <w:p>
      <w:pPr>
        <w:spacing w:after="0" w:line="229" w:lineRule="exact"/>
        <w:rPr>
          <w:sz w:val="20"/>
          <w:szCs w:val="20"/>
          <w:color w:val="auto"/>
        </w:rPr>
      </w:pPr>
    </w:p>
    <w:p>
      <w:pPr>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BXCL701 is a potential first-in-class, highly potent, oral, small molecule immunomodulator designed to stimulate both the innate and acquired immune systems by inhibiting dipeptidyl peptidases (“DPP 8/9”). DPP 8/9 behave as "checkpoints" of the innate immune system. We believe that BXCL701 may establish a differentiated immuno-oncology platform by modulating multiple steps in the cancer immunity cycle and, when combined with checkpoint inhibitors and/or immune activating agents, may be able to convert immuno-resistant tumors to immuno-sensitive tumors (“cold” to “hot” tumors).</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BXCL701 currently has two ongoing combination therapy clinical trials:</w:t>
      </w:r>
    </w:p>
    <w:p>
      <w:pPr>
        <w:spacing w:after="0" w:line="225" w:lineRule="exact"/>
        <w:rPr>
          <w:sz w:val="20"/>
          <w:szCs w:val="20"/>
          <w:color w:val="auto"/>
        </w:rPr>
      </w:pPr>
    </w:p>
    <w:p>
      <w:pPr>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In April 2020, we announced the initiation of the Phase 2 efficacy portion of the Phase 1b/2 trial of BXCL701 in combination with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(pembrolizumab, a PD-1 inhibitor) for treatment emergent Neuroendocrine Prostate Cancer (tNEPC). The Phase 1b safety assessment of BXCL701 indicated that a split dose totaling 0.6 mg per day is the recommended dose when used in combination with KEYTRUDA. In addition to the efficacy cohort in NEPC patients, in August 2020, we opened a separate cohort for castration-resistant prostate cancer (“CRPC” - adenocarcinoma) patients who have failed taxane-based chemotherapy and up to two lines of second generation androgen pathway blockers. The 1b portion of this trial was recently presented at the Society for Immunotherapy of Cancer’s 35th Anniversary Annual Meeting (SITC.</w:t>
      </w:r>
    </w:p>
    <w:p>
      <w:pPr>
        <w:spacing w:after="0" w:line="203"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MD Anderson-led Phase 2 open-label basket trial was designed to evaluate the response rate of orally administered BXCL701, combined with KEYTRUDA, in two arms: Arm A is enrolling checkpoint naïve patients (where checkpoint therapy is indicated: “hot tumors”); and arm B is enrolling patients who have progressed following checkpoint therapy alone. As of August 2020, the efficacy bar had been met for both arms, allowing the trial to advance to completion. Preliminary data was recently presented at SITC.</w:t>
      </w:r>
    </w:p>
    <w:p>
      <w:pPr>
        <w:spacing w:after="0" w:line="224" w:lineRule="exact"/>
        <w:rPr>
          <w:sz w:val="20"/>
          <w:szCs w:val="20"/>
          <w:color w:val="auto"/>
        </w:rPr>
      </w:pPr>
    </w:p>
    <w:p>
      <w:pPr>
        <w:ind w:left="60" w:right="359" w:firstLine="324"/>
        <w:spacing w:after="0" w:line="255" w:lineRule="auto"/>
        <w:rPr>
          <w:sz w:val="20"/>
          <w:szCs w:val="20"/>
          <w:color w:val="auto"/>
        </w:rPr>
      </w:pPr>
      <w:r>
        <w:rPr>
          <w:rFonts w:ascii="Times New Roman" w:cs="Times New Roman" w:eastAsia="Times New Roman" w:hAnsi="Times New Roman"/>
          <w:sz w:val="18"/>
          <w:szCs w:val="18"/>
          <w:color w:val="auto"/>
        </w:rPr>
        <w:t>The BXCL701 phase of the triple combination study of BXCL701, bempegaldesleukin (NKTR-214, Nektar Therapeutics, Inc. (“Nektar”)) and BAVENCIO® (avelumab, Merck KGaA, Darmstadt, Germany and Pfizer) in second line pancreatic cancer was planned to initiate following Nektar and Pfizer’s Phase 1B dose-escalation trial of bempegaldesleukin and avelumab, which was delayed. All parties have agreed to discontinue activities on the triple combination study and instead reallocate resources to other studies and development programs, and the Clinical Trial Collaboration Agreement, dated September 21, 2018, between the Company Nektar (the “Nektar Collaboration Agreement”) was terminated effective November 10, 2020.</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jc w:val="both"/>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July 2020, we announced that we had received a Notice of Allowance from the U.S. Patent and Trademark Office for patent application No. 16/453,679 related to BXCL501, our proprietary sublingual thin-film formulation of Dex. U.S. Pat. No. 10,792,246 was issued on October 6, 2020 and has a term that is set to expire no earlier than 2039. We plan to list the U.S. patent in the FDA's Approved Drug Products with Therapeutic Equivalence Evaluations, or Orange Book.</w:t>
      </w:r>
    </w:p>
    <w:p>
      <w:pPr>
        <w:spacing w:after="0" w:line="180"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As of November 1, 2020, our patent portfolio included 6 Patent Cooperation Treaty applications, 6 U.S. utility applications, 1 issued U.S. utility patent, 15 U.S. provisional patent applications, 43 non-U.S. applications, and 18 design patent applications, one of which is a U.S. design application.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statements are prepared in accordance with Generally Accepted Accounting Principles in the United States of America (“GAAP”). All amounts are presented in thousands.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not recognized any revenue since inception.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Our research and development expenses reflect costs incurred for the research and development of our clinical and pre-clinical product candidates, which includes payments to BioXcel, our Parent. Research and development expense primarily consist of salary, benefits and non-cash stock-based compensation for our research and development personnel, costs incurred under agreements with contract research organizations, (“CROs”), and sites that conduct our non-clinical studies and clinical trials, costs of outside consultants engaged in research and development activities, including their fees, stock-based compensation and travel expenses, the cost of acquiring, developing and manufacturing pre-clinical and clinical trial materials and lab supplies, and depreciation and other expenses.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to operations as incurred.</w:t>
      </w:r>
    </w:p>
    <w:p>
      <w:pPr>
        <w:spacing w:after="0" w:line="225"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by program for the nine months ended September 30, 2020 and 2019 were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BXCL501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BXCL701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BXCL502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BXCL702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support services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1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19,302</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benefits and non-cash stock-based compensation for our executive and administrative personnel. General and administrative expenses also include legal expenses to pursue patent protection of our intellectual property, professional fees for audit and tax and insurance charges.</w:t>
      </w:r>
    </w:p>
    <w:p>
      <w:pPr>
        <w:spacing w:after="0" w:line="176" w:lineRule="exact"/>
        <w:rPr>
          <w:sz w:val="20"/>
          <w:szCs w:val="20"/>
          <w:color w:val="auto"/>
        </w:rPr>
      </w:pPr>
    </w:p>
    <w:p>
      <w:pPr>
        <w:ind w:left="60" w:right="239" w:firstLine="324"/>
        <w:spacing w:after="0" w:line="274"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as we expand our clinical programs. We also expect increased administrative costs resulting from our clinical trials and the potential commercialization of our product candidates. We believe that these increases will likely include increased costs for director and officer liability insurance, hiring additional personnel to support future market research and future product commercialization efforts and increased fees for outside consultants, attorneys and accountants. We may also incur increased costs to comply with corporate governance, internal controls, investor relations and disclosures and similar requirements applicable to public companies.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A description of recently issued accounting pronouncements that may potentially impact our financial position and results of operations is set forth in Note 3 to the financial statements included in this Quarterly Report on Form 10-Q.</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2020 and 2019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not recognized any revenues since inception.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2020 and 2019 were $16,317 and $7,122, respectively. Research and development expenses for the three months ended September 30, 2020 and 2019 were comprised as follows: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research &amp; project related costs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Drug acquisition costs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trials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Chemical, manufacturing and controls cost ("CMC")</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other costs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$ 7,122</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$ 9,195</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increase of $9,195 for the three months ended September 30, 2020 is primarily attributable to:</w:t>
      </w:r>
    </w:p>
    <w:p>
      <w:pPr>
        <w:spacing w:after="0" w:line="225"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Personnel and recruiting costs increased due to our efforts to enlarge our clinical team as we expanded our clinical programs during the quarter and in preparation of the potential commercial launch of BXCL501 in the U.S.</w:t>
      </w:r>
    </w:p>
    <w:p>
      <w:pPr>
        <w:spacing w:after="0" w:line="162"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Non-cash stock-based compensation also increased as result of the additional personnel hired during the year and increased grant date fair values arising from higher market prices of the Company’s common stock.</w:t>
      </w:r>
    </w:p>
    <w:p>
      <w:pPr>
        <w:spacing w:after="0" w:line="162"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increase in professional research &amp; project related costs and clinical trials expense reflect the acceleration of research and development activities is primarily related to our SERENITY I and II clinical trials as well as increased costs associated with our TRANQUILITY and RELEASE clinical trials for BXCL501. These amounts were offset by reduced costs related to our BXCL501 Phase Ib schizophrenia trial and our BXCL701 pancreatic cancer trial.</w:t>
      </w:r>
    </w:p>
    <w:p>
      <w:pPr>
        <w:spacing w:after="0" w:line="180"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Drug acquisition costs incurred during the three months ended September 30, 2019 related to a payment triggered pursuant to our Amended and Restated Asset Contribution Agreement with our Parent as discussed in Note 4 to the financial statements included elsewhere in this Quarterly Report on Form 10-Q.</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2020 and 2019 were $8,451 and $2,012, respectively. General and administrative expenses for the three months ended September 30, 2020 and 2019 were comprised as follows: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other costs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4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$ 8,451</w:t>
            </w:r>
          </w:p>
        </w:tc>
        <w:tc>
          <w:tcPr>
            <w:tcW w:w="16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$ 2,012</w:t>
            </w:r>
          </w:p>
        </w:tc>
        <w:tc>
          <w:tcPr>
            <w:tcW w:w="16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increase of $6,439 for the three months ended September 30, 2020 is primarily attributable to:</w:t>
      </w:r>
    </w:p>
    <w:p>
      <w:pPr>
        <w:spacing w:after="0" w:line="225"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Increased personnel and recruiting costs due to our continuing efforts to expand our teams in preparation of the potential commercial launch of BXCL501 in the U.S.</w:t>
      </w:r>
    </w:p>
    <w:p>
      <w:pPr>
        <w:spacing w:after="0" w:line="16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Non-cash stock-based compensation also increased as result of the additional personnel and increased grant date fair values arising from higher market prices of the Company’s common stock.</w:t>
      </w:r>
    </w:p>
    <w:p>
      <w:pPr>
        <w:spacing w:after="0" w:line="162"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Professional and insurance fees increased due to the expanding growth of our operations, increased corporate legal and investor relations fees and increased insurance costs primarily related to an increase in Director and Officer liability premiums.</w:t>
      </w:r>
    </w:p>
    <w:p>
      <w:pPr>
        <w:spacing w:after="0" w:line="17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September 2020, we were the victim of an email-based wire fraud, which led to a misappropriation of approximately $1,927. We subsequently recovered $774 of this amount and are continuing efforts to recoup the remainder of the funds. As such, $1,153 is included and Travel and other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not recognized any revenues since inception.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2020 and 2019 were $46,595 and $19,302, respectively. Research and developments for the nine months ended September 30, 2020 and 2019 were comprised as follows: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research &amp; project related costs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Drug acquisition costs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 ("CMC")</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27,293</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4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increase of $27,293 during the nine months ended September 30, 2020 is primarily attributable to:</w:t>
      </w:r>
    </w:p>
    <w:p>
      <w:pPr>
        <w:spacing w:after="0" w:line="225"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Increased personnel and recruiting costs due to our continuing efforts to expand our teams in preparation of the potential commercial launch of BXCL501 in the U.S.</w:t>
      </w:r>
    </w:p>
    <w:p>
      <w:pPr>
        <w:spacing w:after="0" w:line="16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Increased non-cash stock-based compensation a result of the additional personnel and increased grant date fair values arising from higher market prices of the Company’s common stock.</w:t>
      </w:r>
    </w:p>
    <w:p>
      <w:pPr>
        <w:spacing w:after="0" w:line="162" w:lineRule="exact"/>
        <w:rPr>
          <w:sz w:val="20"/>
          <w:szCs w:val="20"/>
          <w:color w:val="auto"/>
        </w:rPr>
      </w:pPr>
    </w:p>
    <w:p>
      <w:pPr>
        <w:ind w:left="60" w:right="379" w:firstLine="324"/>
        <w:spacing w:after="0" w:line="281" w:lineRule="auto"/>
        <w:rPr>
          <w:sz w:val="20"/>
          <w:szCs w:val="20"/>
          <w:color w:val="auto"/>
        </w:rPr>
      </w:pPr>
      <w:r>
        <w:rPr>
          <w:rFonts w:ascii="Times New Roman" w:cs="Times New Roman" w:eastAsia="Times New Roman" w:hAnsi="Times New Roman"/>
          <w:sz w:val="17"/>
          <w:szCs w:val="17"/>
          <w:color w:val="auto"/>
        </w:rPr>
        <w:t>The increase in professional research &amp; project related costs, clinical trials expense and CMC costs reflect the acceleration of research and development activities is primarily related to our SERENITY I and II clinical trials as well increased costs associated with our TRANQUILITY and RELEASE clinical trials for BXCL501. These amounts were offset by reduced costs related to our BXCL501 Phase Ib schizophrenia trial and our BXCL701 pancreatic cancer trial.</w:t>
      </w:r>
    </w:p>
    <w:p>
      <w:pPr>
        <w:spacing w:after="0" w:line="164"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Drug acquisition costs incurred during the nine months ended September 30, 2019 were related to certain payments triggered pursuant to our Amended and Restated Asset Contribution Agreement with our Parent as discussed in Note 4 to the financial statements included elsewhere in this Quarterly Report on Form 10-Q.</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2020 and 2019 were $14,605 and $5,886, respectively. General and administrative expenses for the nine months ended September 30, 2020 and 2019 were comprised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$ 1,257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6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$ 5,886</w:t>
            </w:r>
          </w:p>
        </w:tc>
        <w:tc>
          <w:tcPr>
            <w:tcW w:w="18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$ 8,719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increase of $8,719 during the nine months ended September 30, 2020 is primarily related to:</w:t>
      </w:r>
    </w:p>
    <w:p>
      <w:pPr>
        <w:spacing w:after="0" w:line="225"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Increased personnel and recruiting costs due to our continuing efforts to expand our teams in preparation of the potential commercial launch of BXCL501 in the U.S.</w:t>
      </w:r>
    </w:p>
    <w:p>
      <w:pPr>
        <w:spacing w:after="0" w:line="162"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Non-cash stock-based compensation also increased as result of the additional personnel and increased grant date fair values arising from higher market prices of the Company’s common stock.</w:t>
      </w:r>
    </w:p>
    <w:p>
      <w:pPr>
        <w:spacing w:after="0" w:line="16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Professional and insurance fees increased due to the expanding growth of our operations and increased intellectual property and corporate legal fees as well as increased investor relations fees and insurance costs primarily related to an increase in Director and Officer liability premiums. Professional fees related to pre-commercialization planning efforts also increased.</w:t>
      </w:r>
    </w:p>
    <w:p>
      <w:pPr>
        <w:spacing w:after="0" w:line="180"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September 2020, we were the victim of an email-based wire fraud, which led to a misappropriation of approximately $1,927. We subsequently recovered $774 of this amount and are continuing efforts to recoup the remainder of the funds. As such, $1,153 is included and Travel and other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results of operations during the periods presented.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2020, we had cash and cash equivalents of $233,428, working capital of $219,789 and stockholders’ equity of $220,938. We incurred losses of $61,083 and $24,693 during the nine months ended September 30, 2020 and 2019, respectively.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believe that our existing cash and cash equivalents as of September 30, 2020 will enable us to fund our operating expenses and capital expenditure requirements well into 2022.</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Management intends to obtain financing through sales of the Company’s equity securities, entering into strategic partnership arrangements and/or short-term borrowings from banks, stockholders or other related parties, if needed. There are no assurances that we will be successful in obtaining an adequate level of financing as and when needed to finance our operations on terms acceptable to us or at all, particularly in light of the economic downturn and ongoing uncertainty related to the COVID-19 pandemic. If we are unable to secure adequate additional funding as and when needed, we may have to significantly delay, scale back or discontinue the development and commercialization of one or more product candidates. In addition, the magnitude and duration of the COVID-19 pandemic and its impact on our liquidity and future funding requirements is uncertain as of the filing date of this Quarterly Report on Form 10-Q, as the pandemic continues to evolve globally. See “Impact of COVID-19 Pandemic” above and “Risk Factors—The outbreak of COVID-19, or other pandemic, epidemic or outbreak of an infectious disease may materially and adversely impact our business, including our preclinical studies and clinical trials.” in Part II, Item 1A. of this Quarterly Report on Form 10-Q for a further discussion of the potential impact of the COVID-19 pandemic on our business.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have focused our efforts on raising capital and building the products in our pipeline. Since our inception, all of our operations have been financed by our Parent, BioXcel, from the sales of our common stock in private placements and public offerings and under an Open Market Sale Agreement. We have not yet established an ongoing source of revenue sufficient to cover our operating costs and will need to do so in future periods.</w:t>
      </w:r>
    </w:p>
    <w:p>
      <w:pPr>
        <w:spacing w:after="0" w:line="180"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May 2019, we entered into an Open Market Sale Agreement, or the Sale Agreement, with Jefferies LLC, or Jefferies, pursuant to which we could offer and sell shares of our common stock having an initial offering price no greater than $20,000, from time to time, through an “at the market offering” program under which Jefferies acted as sales agent. From May 2019 to September 2019, we sold a total of 66,193 shares for proceeds of $387, net of issuance costs of $350. We terminated the Sale Agreement on September 22, 2019.</w:t>
      </w:r>
    </w:p>
    <w:p>
      <w:pPr>
        <w:spacing w:after="0" w:line="183"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In September 2019, we sold in a registered offering 2,303,030 shares of our common stock at a public offering price of $8.25 per share, less underwriting discounts and commissions for which we received gross and net proceeds of approximately $19,000 and $17,423, respectively.</w:t>
      </w:r>
    </w:p>
    <w:p>
      <w:pPr>
        <w:spacing w:after="0" w:line="17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In February 2020, we sold in a registered offering 2,300,000 shares of our common stock at a public offering price of $32.00 per share for gross proceeds of $73,600 less underwriting discounts and commissions. The Company received proceeds of approximately $68,811, net of issuance costs of $4,789 from the February 2020 offering. The Company used $9,024 of the proceeds to purchase and cancel 300,000 shares of common stock from BioXcel.</w:t>
      </w:r>
    </w:p>
    <w:p>
      <w:pPr>
        <w:spacing w:after="0" w:line="180"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received funds under the Paycheck Protection Program of the Coronavirus Aid, Relief, and Economic Security Act (“CARES Act”) in April 2020 in the amount of $537. On April 23, 2020 the Small Business Administration issued a new FAQ #31, which provided guidance on what it means to certify that: “current economic uncertainty makes this loan request necessary to support the ongoing operations of the Applicant.” Following review of this new FAQ #31 we decided to withdraw from the Paycheck Protection Program and have repaid the loan in full together with all accrued interest.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In July 2020, we sold in a registered offering 4,000,000 shares of our common stock at a public offering price of $50.00 per share for gross proceeds of $200,000 less underwriting discounts and commissions. The Company received proceeds of approximately $187,008, net of issuance costs of $12,992 from the July 2020 offering.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220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in thousands: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34"/>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247,126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2020 was $46,078, which was primarily attributable to our net loss of $61,083, partially offset by $8,000 in non-cash stock-based compensation and $143 of depreciation and amortization and a $7,708 increase in accounts payable, accrued expenses and other liabilities.</w:t>
      </w:r>
    </w:p>
    <w:p>
      <w:pPr>
        <w:spacing w:after="0" w:line="17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2019 was $19,182, which primarily attributable to our net loss of $24,693 and a $618 increase in prepaid insurance and other assets, partially offset by $2,488 in stock-based compensation, $218 of depreciation and amortization and a $3,423 increase in accounts payable, accrued expenses and other liabilities.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2020 was $46 and was attributable to the purchase of property and equipment.</w:t>
      </w:r>
    </w:p>
    <w:p>
      <w:pPr>
        <w:spacing w:after="0" w:line="16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2019 was $868 and was attributable to the purchase of property and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2020 was $247,126 and was primarily attributable to $255,819 in net proceeds from the issuance of common stock in our February 2020 and July 2020 public offerings. This amount was partially offset by $9,024 used for the purchase and cancellation of 300,000 shares of common stock owned by BioXcel and $310 in proceeds from the exercise of stock options.</w:t>
      </w:r>
    </w:p>
    <w:p>
      <w:pPr>
        <w:spacing w:after="0" w:line="180"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2019 was $17,737 and was primarily attributable to $17,339 in net proceeds from the issuance of common stock in our September 2019 Offering combined with $337 in net proceeds received under our ATM program.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29" w:lineRule="exact"/>
        <w:rPr>
          <w:sz w:val="20"/>
          <w:szCs w:val="20"/>
          <w:color w:val="auto"/>
        </w:rPr>
      </w:pPr>
    </w:p>
    <w:p>
      <w:pPr>
        <w:ind w:left="60" w:right="459" w:firstLine="324"/>
        <w:spacing w:after="0" w:line="256"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as we expand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80" w:lineRule="exact"/>
        <w:rPr>
          <w:sz w:val="20"/>
          <w:szCs w:val="20"/>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BXCL501 and BXCL701;</w:t>
      </w:r>
    </w:p>
    <w:p>
      <w:pPr>
        <w:spacing w:after="0" w:line="27"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develop and commercialize additional product candidates;</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w:t>
      </w:r>
    </w:p>
    <w:p>
      <w:pPr>
        <w:spacing w:after="0" w:line="9" w:lineRule="exact"/>
        <w:rPr>
          <w:rFonts w:ascii="Times New Roman" w:cs="Times New Roman" w:eastAsia="Times New Roman" w:hAnsi="Times New Roman"/>
          <w:sz w:val="18"/>
          <w:szCs w:val="18"/>
          <w:color w:val="auto"/>
        </w:rPr>
      </w:pPr>
    </w:p>
    <w:p>
      <w:pPr>
        <w:ind w:left="700" w:right="99" w:hanging="326"/>
        <w:spacing w:after="0" w:line="250"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efforts;</w:t>
      </w: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700" w:right="739" w:hanging="326"/>
        <w:spacing w:after="0" w:line="265" w:lineRule="auto"/>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ultimately establish a sales, marketing and distribution infrastructure and scale up external manufacturing capabilities to commercialize any product candidates for which we may obtain regulatory approval; and</w:t>
      </w:r>
    </w:p>
    <w:p>
      <w:pPr>
        <w:ind w:left="700" w:hanging="32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07"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September 30, 2020 will be sufficient to enable us to fund operating expenses and capital expenditure requirements well into 2022. We expect that we will need to obtain substantial additional funding in order to complete our clinical trials beyond 2022.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under SEC rules.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left="60" w:right="239" w:firstLine="243"/>
        <w:spacing w:after="0" w:line="211" w:lineRule="auto"/>
        <w:rPr>
          <w:sz w:val="20"/>
          <w:szCs w:val="20"/>
          <w:color w:val="auto"/>
        </w:rPr>
      </w:pPr>
      <w:r>
        <w:rPr>
          <w:rFonts w:ascii="Times New Roman" w:cs="Times New Roman" w:eastAsia="Times New Roman" w:hAnsi="Times New Roman"/>
          <w:sz w:val="18"/>
          <w:szCs w:val="18"/>
          <w:color w:val="auto"/>
        </w:rPr>
        <w:t>In August 2020, we entered into an amendment to our existing lease on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of 555 Long Wharf Drive, New Haven, Connecticut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Lease”), wherein we leased an additional 7,245 square feet of space in such building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Lease Amendment”).</w:t>
      </w:r>
    </w:p>
    <w:p>
      <w:pPr>
        <w:spacing w:after="0" w:line="75" w:lineRule="exact"/>
        <w:rPr>
          <w:sz w:val="20"/>
          <w:szCs w:val="20"/>
          <w:color w:val="auto"/>
        </w:rPr>
      </w:pPr>
    </w:p>
    <w:p>
      <w:pPr>
        <w:jc w:val="both"/>
        <w:ind w:left="60" w:right="99" w:firstLine="324"/>
        <w:spacing w:after="0" w:line="224"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September 30, 2020 and the effect such obligations are expected to have on our liquidity and cash flow in future periods and is solely related to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Lease and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Lease Amendment:</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40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8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0"/>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"Management's Discussion and Analysis of Financial Condition and Results of Operations—Critical Accounting Policies " in our Annual Report on Form 10-K for the fiscal year ended December 31, 2019. We have reviewed and determined that those critical accounting policies and estimates remain our critical accounting policies and estimates as of and for the nine months ended September 30, 2020. No changes were made to our critical accounting policies during the period presented.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3 to the financial statements included elsewhere in this Quarterly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61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we had $233,428 of cash and cash equivalents. We do not participate in any foreign currency hedging activities and we do not have any other derivative financial instruments. We did not recognize any significant exchange rate losses during the nine months ended September 30, 2020 and 2019, respectively.</w:t>
      </w:r>
    </w:p>
    <w:p>
      <w:pPr>
        <w:spacing w:after="0" w:line="176"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our cash and cash equivalents have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80"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has historically been the potential loss arising from adverse changes in interest rates. At September 30, 2020 and December 31, 2019, we had cash and cash equivalents of $233,428 and $32,426, respectively. As of September 30, 2020, we held our cash primarily in money market accounts and accordingly, the value of these accounts is subject to fluctuation in interest rates.</w:t>
      </w:r>
    </w:p>
    <w:p>
      <w:pPr>
        <w:spacing w:after="0" w:line="180"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do not engage in any hedging activities against changes in interest rates. We do not have any foreign currency or other derivative financial instruments.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339" w:firstLine="324"/>
        <w:spacing w:after="0" w:line="277"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reports that it files or submits under the Exchange Act is recorded, processed, summarized and reported, within the time periods specified in the rules and forms of the Securities and Exchange Commission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2"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September 2020, we were the victim of an email-based wire fraud which involved two electronic communications impersonating one of our vendors, resulting in our sending wires totaling $1.9 million to accounts controlled by the impersonator. As a result of the foregoing, we identified a material weakness due to our internal controls having not been adequately designed to prevent or timely detect unauthorized cash disbursements. Specifically, certain members within our finance organization failed to exercise appropriate skepticism and oversight for disbursement of Company-owned funds, and our cash disbursement process was not adequately designed to identify unauthorized payment requests. We do not believe that this breach had a material adverse effect on our business.</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Management has taken immediate action to begin remediating the material weakness, including enhancing and formalizing cash disbursement controls to prevent and timely detect unauthorized cash disbursements. We have also added additional members to the finance team with greater experience in the area of internal controls. We subsequently successfully recovered $0.8 million of this amount and are continuing efforts to recoup the remainder of the funds. The material weakness did not result in a material misstatement of our financial statements, and management is working to complete the remediation during the fourth quarter of 2020.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Other than as noted above there were no other changes in our internal control over financial reporting (as defined in Rules 13a-15(f) and 15d-15(f) under the Exchange Act) during the three months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11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Quarterly Report on Form 10-Q.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225"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5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and advancing the development of, our product candidates, including conducting clinical and preclinical studies. We have not yet demonstrated an ability to successfully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87"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76"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5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$61.1 million and $24.7 million for the nine months ended September 30, 2020 and 2019 respectively. As of September 30, 2020, we had stockholders’ equity of $220.9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92" w:lineRule="exact"/>
        <w:rPr>
          <w:sz w:val="20"/>
          <w:szCs w:val="20"/>
          <w:color w:val="auto"/>
        </w:rPr>
      </w:pPr>
    </w:p>
    <w:p>
      <w:pPr>
        <w:ind w:left="1020" w:hanging="32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product candidates;</w:t>
      </w:r>
    </w:p>
    <w:p>
      <w:pPr>
        <w:spacing w:after="0" w:line="225" w:lineRule="exact"/>
        <w:rPr>
          <w:rFonts w:ascii="Times New Roman" w:cs="Times New Roman" w:eastAsia="Times New Roman" w:hAnsi="Times New Roman"/>
          <w:sz w:val="18"/>
          <w:szCs w:val="18"/>
          <w:color w:val="auto"/>
        </w:rPr>
      </w:pPr>
    </w:p>
    <w:p>
      <w:pPr>
        <w:ind w:left="1020" w:right="619" w:hanging="322"/>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61" w:lineRule="exact"/>
        <w:rPr>
          <w:rFonts w:ascii="Times New Roman" w:cs="Times New Roman" w:eastAsia="Times New Roman" w:hAnsi="Times New Roman"/>
          <w:sz w:val="18"/>
          <w:szCs w:val="18"/>
          <w:color w:val="auto"/>
        </w:rPr>
      </w:pPr>
    </w:p>
    <w:p>
      <w:pPr>
        <w:ind w:left="1020" w:right="619" w:hanging="322"/>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our portfolio of product candidates through the acquisition or in-license of additional product candidates or technologies;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20" w:right="199" w:hanging="322"/>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61" w:lineRule="exact"/>
        <w:rPr>
          <w:rFonts w:ascii="Times New Roman" w:cs="Times New Roman" w:eastAsia="Times New Roman" w:hAnsi="Times New Roman"/>
          <w:sz w:val="18"/>
          <w:szCs w:val="18"/>
          <w:color w:val="auto"/>
        </w:rPr>
      </w:pPr>
    </w:p>
    <w:p>
      <w:pPr>
        <w:ind w:left="1020" w:right="139" w:hanging="322"/>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 candidate for which we may obtain marketing approval;</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scientific and accounting personnel;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5"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87"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87"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162"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anticipate that our expenses will increase substantially if and as we continue to develop and conduct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94"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expect that our current cash and cash equivalents and cash generated by our July 2020 offering will be used primarily to fund our ongoing research and development efforts well into 2022.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event, the net proceeds of our prior equity offerings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Additionally, market volatility resulting from the COVID-19 pandemic or other factors could also adversely impact our ability to access capital as and when needed. Our failure to raise capital as and when needed would have a negative impact on our financial condition and our ability to pursue our business strategy.</w:t>
      </w:r>
    </w:p>
    <w:p>
      <w:pPr>
        <w:spacing w:after="0" w:line="18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83" w:lineRule="exact"/>
        <w:rPr>
          <w:sz w:val="20"/>
          <w:szCs w:val="20"/>
          <w:color w:val="auto"/>
        </w:rPr>
      </w:pPr>
    </w:p>
    <w:p>
      <w:pPr>
        <w:ind w:left="1020" w:right="199" w:hanging="322"/>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BXCL501, BXCL701 and our other product candidates;</w:t>
      </w:r>
    </w:p>
    <w:p>
      <w:pPr>
        <w:spacing w:after="0" w:line="53" w:lineRule="exact"/>
        <w:rPr>
          <w:rFonts w:ascii="Times New Roman" w:cs="Times New Roman" w:eastAsia="Times New Roman" w:hAnsi="Times New Roman"/>
          <w:sz w:val="18"/>
          <w:szCs w:val="18"/>
          <w:color w:val="auto"/>
        </w:rPr>
      </w:pPr>
    </w:p>
    <w:p>
      <w:pPr>
        <w:ind w:left="1020" w:right="719" w:hanging="322"/>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117" w:lineRule="exact"/>
        <w:rPr>
          <w:rFonts w:ascii="Times New Roman" w:cs="Times New Roman" w:eastAsia="Times New Roman" w:hAnsi="Times New Roman"/>
          <w:sz w:val="18"/>
          <w:szCs w:val="18"/>
          <w:color w:val="auto"/>
        </w:rPr>
      </w:pPr>
    </w:p>
    <w:p>
      <w:pPr>
        <w:ind w:left="1020" w:right="139" w:hanging="322"/>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20" w:right="139" w:hanging="322"/>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as well as potentially establish a commercial infrastructure;</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if any,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right="219" w:hanging="322"/>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 and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drug discovery and drug development, and we have never had a drug approved.</w:t>
      </w:r>
    </w:p>
    <w:p>
      <w:pPr>
        <w:spacing w:after="0" w:line="22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BXCL501 and BXCL701. If we are unable to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0"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3"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success of BXCL501, BXCL701 and our other product candidates will depend on several factors, including the following:</w:t>
      </w:r>
    </w:p>
    <w:p>
      <w:pPr>
        <w:spacing w:after="0" w:line="162" w:lineRule="exact"/>
        <w:rPr>
          <w:sz w:val="20"/>
          <w:szCs w:val="20"/>
          <w:color w:val="auto"/>
        </w:rPr>
      </w:pPr>
    </w:p>
    <w:p>
      <w:pPr>
        <w:ind w:left="1020" w:right="77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IND application by the FDA authorizing us to conduct clinical trials of our product candidates in the United States;</w:t>
      </w:r>
    </w:p>
    <w:p>
      <w:pPr>
        <w:spacing w:after="0" w:line="53" w:lineRule="exact"/>
        <w:rPr>
          <w:rFonts w:ascii="Times New Roman" w:cs="Times New Roman" w:eastAsia="Times New Roman" w:hAnsi="Times New Roman"/>
          <w:sz w:val="18"/>
          <w:szCs w:val="18"/>
          <w:color w:val="auto"/>
        </w:rPr>
      </w:pPr>
    </w:p>
    <w:p>
      <w:pPr>
        <w:ind w:left="1020" w:right="19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w:t>
      </w:r>
    </w:p>
    <w:p>
      <w:pPr>
        <w:spacing w:after="0" w:line="53" w:lineRule="exact"/>
        <w:rPr>
          <w:rFonts w:ascii="Times New Roman" w:cs="Times New Roman" w:eastAsia="Times New Roman" w:hAnsi="Times New Roman"/>
          <w:sz w:val="18"/>
          <w:szCs w:val="18"/>
          <w:color w:val="auto"/>
        </w:rPr>
      </w:pPr>
    </w:p>
    <w:p>
      <w:pPr>
        <w:ind w:left="1020" w:right="81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117" w:lineRule="exact"/>
        <w:rPr>
          <w:rFonts w:ascii="Times New Roman" w:cs="Times New Roman" w:eastAsia="Times New Roman" w:hAnsi="Times New Roman"/>
          <w:sz w:val="18"/>
          <w:szCs w:val="18"/>
          <w:color w:val="auto"/>
        </w:rPr>
      </w:pPr>
    </w:p>
    <w:p>
      <w:pPr>
        <w:ind w:left="1020" w:right="63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117" w:lineRule="exact"/>
        <w:rPr>
          <w:rFonts w:ascii="Times New Roman" w:cs="Times New Roman" w:eastAsia="Times New Roman" w:hAnsi="Times New Roman"/>
          <w:sz w:val="18"/>
          <w:szCs w:val="18"/>
          <w:color w:val="auto"/>
        </w:rPr>
      </w:pPr>
    </w:p>
    <w:p>
      <w:pPr>
        <w:ind w:left="1020" w:right="79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pacing w:after="0" w:line="53"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53" w:lineRule="exact"/>
        <w:rPr>
          <w:rFonts w:ascii="Times New Roman" w:cs="Times New Roman" w:eastAsia="Times New Roman" w:hAnsi="Times New Roman"/>
          <w:sz w:val="18"/>
          <w:szCs w:val="18"/>
          <w:color w:val="auto"/>
        </w:rPr>
      </w:pPr>
    </w:p>
    <w:p>
      <w:pPr>
        <w:ind w:left="1020" w:right="15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1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ind w:left="60" w:right="139" w:firstLine="324"/>
        <w:spacing w:after="0" w:line="271" w:lineRule="auto"/>
        <w:rPr>
          <w:sz w:val="20"/>
          <w:szCs w:val="20"/>
          <w:color w:val="auto"/>
        </w:rPr>
      </w:pPr>
      <w:r>
        <w:rPr>
          <w:rFonts w:ascii="Times New Roman" w:cs="Times New Roman" w:eastAsia="Times New Roman" w:hAnsi="Times New Roman"/>
          <w:sz w:val="17"/>
          <w:szCs w:val="17"/>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73"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3"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2"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7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20" w:right="13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53" w:lineRule="exact"/>
        <w:rPr>
          <w:rFonts w:ascii="Times New Roman" w:cs="Times New Roman" w:eastAsia="Times New Roman" w:hAnsi="Times New Roman"/>
          <w:sz w:val="18"/>
          <w:szCs w:val="18"/>
          <w:color w:val="auto"/>
        </w:rPr>
      </w:pPr>
    </w:p>
    <w:p>
      <w:pPr>
        <w:ind w:left="1020" w:right="17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right="83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right="53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right="119" w:hanging="322"/>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pacing w:after="0" w:line="75" w:lineRule="exact"/>
        <w:rPr>
          <w:rFonts w:ascii="Times New Roman" w:cs="Times New Roman" w:eastAsia="Times New Roman" w:hAnsi="Times New Roman"/>
          <w:sz w:val="18"/>
          <w:szCs w:val="18"/>
          <w:color w:val="auto"/>
        </w:rPr>
      </w:pPr>
    </w:p>
    <w:p>
      <w:pPr>
        <w:ind w:left="1020" w:right="39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99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87"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87" w:lineRule="exact"/>
        <w:rPr>
          <w:sz w:val="20"/>
          <w:szCs w:val="20"/>
          <w:color w:val="auto"/>
        </w:rPr>
      </w:pPr>
    </w:p>
    <w:p>
      <w:pPr>
        <w:ind w:left="60" w:right="119" w:firstLine="324"/>
        <w:spacing w:after="0" w:line="272" w:lineRule="auto"/>
        <w:rPr>
          <w:sz w:val="20"/>
          <w:szCs w:val="20"/>
          <w:color w:val="auto"/>
        </w:rPr>
      </w:pPr>
      <w:r>
        <w:rPr>
          <w:rFonts w:ascii="Times New Roman" w:cs="Times New Roman" w:eastAsia="Times New Roman" w:hAnsi="Times New Roman"/>
          <w:sz w:val="17"/>
          <w:szCs w:val="17"/>
          <w:color w:val="auto"/>
        </w:rPr>
        <w:t>We have not previously submitted an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7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both in the United States,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and difficult to design and implement, and involve an uncertain outcome.</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and can take many years to complete, and its outcome is inherently uncertain. Failure can occur at any time during the clinical trial process. 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92" w:lineRule="exact"/>
        <w:rPr>
          <w:sz w:val="20"/>
          <w:szCs w:val="20"/>
          <w:color w:val="auto"/>
        </w:rPr>
      </w:pPr>
    </w:p>
    <w:p>
      <w:pPr>
        <w:ind w:left="1020" w:right="25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53" w:lineRule="exact"/>
        <w:rPr>
          <w:rFonts w:ascii="Times New Roman" w:cs="Times New Roman" w:eastAsia="Times New Roman" w:hAnsi="Times New Roman"/>
          <w:sz w:val="18"/>
          <w:szCs w:val="18"/>
          <w:color w:val="auto"/>
        </w:rPr>
      </w:pPr>
    </w:p>
    <w:p>
      <w:pPr>
        <w:ind w:left="1020" w:right="51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trial or consensus with regulatory authorities on trial designs;</w:t>
      </w:r>
    </w:p>
    <w:p>
      <w:pPr>
        <w:spacing w:after="0" w:line="53" w:lineRule="exact"/>
        <w:rPr>
          <w:rFonts w:ascii="Times New Roman" w:cs="Times New Roman" w:eastAsia="Times New Roman" w:hAnsi="Times New Roman"/>
          <w:sz w:val="18"/>
          <w:szCs w:val="18"/>
          <w:color w:val="auto"/>
        </w:rPr>
      </w:pPr>
    </w:p>
    <w:p>
      <w:pPr>
        <w:jc w:val="both"/>
        <w:ind w:left="1020" w:right="519" w:hanging="322"/>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to combat epidemics, such as the COVID-19 pandemic;</w:t>
      </w:r>
    </w:p>
    <w:p>
      <w:pPr>
        <w:spacing w:after="0" w:line="117" w:lineRule="exact"/>
        <w:rPr>
          <w:rFonts w:ascii="Times New Roman" w:cs="Times New Roman" w:eastAsia="Times New Roman" w:hAnsi="Times New Roman"/>
          <w:sz w:val="18"/>
          <w:szCs w:val="18"/>
          <w:color w:val="auto"/>
        </w:rPr>
      </w:pPr>
    </w:p>
    <w:p>
      <w:pPr>
        <w:ind w:left="1020" w:right="21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or IRB, approval at each site, or independent ethics committee, or IEC, approval at any sites outside the United States;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 party collaborators;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20" w:right="11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pacing w:after="0" w:line="53" w:lineRule="exact"/>
        <w:rPr>
          <w:rFonts w:ascii="Times New Roman" w:cs="Times New Roman" w:eastAsia="Times New Roman" w:hAnsi="Times New Roman"/>
          <w:sz w:val="18"/>
          <w:szCs w:val="18"/>
          <w:color w:val="auto"/>
        </w:rPr>
      </w:pPr>
    </w:p>
    <w:p>
      <w:pPr>
        <w:ind w:left="1020" w:right="9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serious adverse events in trials of the same class of agents conducted by other companies or institutions;</w:t>
      </w:r>
    </w:p>
    <w:p>
      <w:pPr>
        <w:spacing w:after="0" w:line="53" w:lineRule="exact"/>
        <w:rPr>
          <w:rFonts w:ascii="Times New Roman" w:cs="Times New Roman" w:eastAsia="Times New Roman" w:hAnsi="Times New Roman"/>
          <w:sz w:val="18"/>
          <w:szCs w:val="18"/>
          <w:color w:val="auto"/>
        </w:rPr>
      </w:pPr>
    </w:p>
    <w:p>
      <w:pPr>
        <w:ind w:left="1020" w:right="63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1020" w:right="63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53" w:lineRule="exact"/>
        <w:rPr>
          <w:rFonts w:ascii="Times New Roman" w:cs="Times New Roman" w:eastAsia="Times New Roman" w:hAnsi="Times New Roman"/>
          <w:sz w:val="18"/>
          <w:szCs w:val="18"/>
          <w:color w:val="auto"/>
        </w:rPr>
      </w:pPr>
    </w:p>
    <w:p>
      <w:pPr>
        <w:ind w:left="1020" w:right="179" w:hanging="322"/>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17" w:lineRule="exact"/>
        <w:rPr>
          <w:rFonts w:ascii="Times New Roman" w:cs="Times New Roman" w:eastAsia="Times New Roman" w:hAnsi="Times New Roman"/>
          <w:sz w:val="18"/>
          <w:szCs w:val="18"/>
          <w:color w:val="auto"/>
        </w:rPr>
      </w:pPr>
    </w:p>
    <w:p>
      <w:pPr>
        <w:ind w:left="1020" w:right="319" w:hanging="322"/>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or GCP, or other regulatory requirements; or</w:t>
      </w:r>
    </w:p>
    <w:p>
      <w:pPr>
        <w:spacing w:after="0" w:line="67" w:lineRule="exact"/>
        <w:rPr>
          <w:rFonts w:ascii="Times New Roman" w:cs="Times New Roman" w:eastAsia="Times New Roman" w:hAnsi="Times New Roman"/>
          <w:sz w:val="18"/>
          <w:szCs w:val="18"/>
          <w:color w:val="auto"/>
        </w:rPr>
      </w:pPr>
    </w:p>
    <w:p>
      <w:pPr>
        <w:ind w:left="1020" w:right="79" w:hanging="322"/>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or 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9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w:t>
      </w:r>
    </w:p>
    <w:p>
      <w:pPr>
        <w:spacing w:after="0" w:line="18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3"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5" w:lineRule="exact"/>
        <w:rPr>
          <w:sz w:val="20"/>
          <w:szCs w:val="20"/>
          <w:color w:val="auto"/>
        </w:rPr>
      </w:pPr>
    </w:p>
    <w:p>
      <w:pPr>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7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Our ability to enroll patients in our clinical trials may be impacted by governmental restrictions and diversion of healthcare resources resulting from the COVID-19 pandemic. Many pharmaceutical companies are conducting clinical trials in patients with the disease indications that our potential drug products target. As a result, we must compete with them for clinical sites, physicians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64"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75"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and our other product candidates in patients is still in the early stages and it is possible that there may be side effects associated with their use. To date, based on information available in the package insert for Dex, patients treated with Dex have experienced drug-related side effects including hypotension, transient hypertension, bradycardia, dry mouth, acute respiratory distress syndrome, respiratory failure and agitation with hypotension, bradycardia and dry mouth considered serious adverse events. In addition, based on the investigator brochure for Talabostat, patients treated with Talabostat have experienced edema/peripheral swelling, hypotension, dizziness, hypovolemia fatigue, nausea, vomiting, pyrexia rigors and rash with edema and fatigue representing the most frequently observed serious adverse events. Results of our trials could reveal a high and unacceptable severity and prevalence of these or other side effects. In our Phase 2 clinical trial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203"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6" w:lineRule="exact"/>
        <w:rPr>
          <w:sz w:val="20"/>
          <w:szCs w:val="20"/>
          <w:color w:val="auto"/>
        </w:rPr>
      </w:pPr>
    </w:p>
    <w:p>
      <w:pPr>
        <w:ind w:left="1020" w:hanging="322"/>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pacing w:after="0" w:line="117" w:lineRule="exact"/>
        <w:rPr>
          <w:rFonts w:ascii="Times New Roman" w:cs="Times New Roman" w:eastAsia="Times New Roman" w:hAnsi="Times New Roman"/>
          <w:sz w:val="18"/>
          <w:szCs w:val="18"/>
          <w:color w:val="auto"/>
        </w:rPr>
      </w:pPr>
    </w:p>
    <w:p>
      <w:pPr>
        <w:ind w:left="1020" w:right="619" w:hanging="322"/>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right="719" w:hanging="322"/>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53" w:lineRule="exact"/>
        <w:rPr>
          <w:rFonts w:ascii="Times New Roman" w:cs="Times New Roman" w:eastAsia="Times New Roman" w:hAnsi="Times New Roman"/>
          <w:sz w:val="18"/>
          <w:szCs w:val="18"/>
          <w:color w:val="auto"/>
        </w:rPr>
      </w:pPr>
    </w:p>
    <w:p>
      <w:pPr>
        <w:ind w:left="1020" w:right="899" w:hanging="322"/>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Risk Evaluation and Mitigation Strategies, or REMS, or create a medication guide outlining the risks of such side effects for distribution to patients;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5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EvolverAI may fail to help us discover and develop additional potential product candidates.</w:t>
      </w:r>
    </w:p>
    <w:p>
      <w:pPr>
        <w:spacing w:after="0" w:line="22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80" w:lineRule="exact"/>
        <w:rPr>
          <w:sz w:val="20"/>
          <w:szCs w:val="20"/>
          <w:color w:val="auto"/>
        </w:rPr>
      </w:pPr>
    </w:p>
    <w:p>
      <w:pPr>
        <w:ind w:left="1020" w:right="199" w:hanging="322"/>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EvolverAI may not demonstrate efficacy, safety or tolerability;</w:t>
      </w:r>
    </w:p>
    <w:p>
      <w:pPr>
        <w:spacing w:after="0" w:line="117" w:lineRule="exact"/>
        <w:rPr>
          <w:rFonts w:ascii="Times New Roman" w:cs="Times New Roman" w:eastAsia="Times New Roman" w:hAnsi="Times New Roman"/>
          <w:sz w:val="18"/>
          <w:szCs w:val="18"/>
          <w:color w:val="auto"/>
        </w:rPr>
      </w:pPr>
    </w:p>
    <w:p>
      <w:pPr>
        <w:ind w:left="1020" w:right="819" w:hanging="322"/>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67"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obtained Fast Track Designation for BXCL501 for the treatment of acute agitation,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80"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If a product is intended for the treatment of a serious condition and nonclinical or clinical data demonstrate the potential to address unmet medical need for this condition, a product sponsor may apply for FDA Fast Track designation. We have obtained Fast Track designation for BXCL501 for the treatment of acute agitation, and we may seek Fast Track designation for other indications for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65"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intend to seek FDA approval through the 505(b)(2) regulatory pathway for certain of our product candidates, including BXCL501. The Hatch-Waxman Act added Section 505(b)(2) to the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93" w:lineRule="exact"/>
        <w:rPr>
          <w:sz w:val="20"/>
          <w:szCs w:val="20"/>
          <w:color w:val="auto"/>
        </w:rPr>
      </w:pPr>
    </w:p>
    <w:p>
      <w:pPr>
        <w:ind w:left="60" w:right="339" w:firstLine="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BXCL501, BXCL701 or any product candidate, we will still face extensive and ongoing regulatory requirements and obligations and any product candidates, if approved, may face future development and regulatory difficulties.</w:t>
      </w:r>
    </w:p>
    <w:p>
      <w:pPr>
        <w:spacing w:after="0" w:line="17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will be subject to extensive and ongoing requirements of and review by the FDA and other regulatory authorities. These requirements include submissions of safety and other post-marketing information and reports, establishment registration and drug listing requirements, continued compliance with cGMP requirements relating to manufacturing, quality control, quality assurance and corresponding maintenance of records and documents, requirements regarding the distribution of samples to physicians and recordkeeping and GCP requirements for any clinical trials that we conduct post-approval.</w:t>
      </w:r>
    </w:p>
    <w:p>
      <w:pPr>
        <w:spacing w:after="0" w:line="192"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candidate may be marketed or to the conditions of approval, including a requirement to implement a REMS. If any of our product candidates receives marketing approval, the accompanying label may limit the approved indicated use of the product candidate, which could limit sales of the product candidate.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Violations of the Federal Food, Drug, and Cosmetic Act, or FDCA, relating to the promotion of prescription drugs may lead to FDA enforcement actions and investigations alleging violations of federal and state healthcare fraud and abuse laws, as well as state consumer protection laws.</w:t>
      </w:r>
    </w:p>
    <w:p>
      <w:pPr>
        <w:spacing w:after="0" w:line="180"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40" w:lineRule="exact"/>
        <w:rPr>
          <w:sz w:val="20"/>
          <w:szCs w:val="20"/>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333" w:lineRule="exact"/>
        <w:rPr>
          <w:sz w:val="20"/>
          <w:szCs w:val="20"/>
          <w:color w:val="auto"/>
        </w:rPr>
      </w:pPr>
    </w:p>
    <w:p>
      <w:pPr>
        <w:ind w:left="60" w:right="299" w:firstLine="324"/>
        <w:spacing w:after="0" w:line="277" w:lineRule="auto"/>
        <w:rPr>
          <w:sz w:val="20"/>
          <w:szCs w:val="20"/>
          <w:color w:val="auto"/>
        </w:rPr>
      </w:pPr>
      <w:r>
        <w:rPr>
          <w:rFonts w:ascii="Times New Roman" w:cs="Times New Roman" w:eastAsia="Times New Roman" w:hAnsi="Times New Roman"/>
          <w:sz w:val="17"/>
          <w:szCs w:val="17"/>
          <w:color w:val="auto"/>
        </w:rPr>
        <w:t>Further, the FDA’s policies may change, and additional government regulations may be enacted that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84"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190" w:lineRule="exact"/>
        <w:rPr>
          <w:sz w:val="20"/>
          <w:szCs w:val="20"/>
          <w:color w:val="auto"/>
        </w:rPr>
      </w:pPr>
    </w:p>
    <w:p>
      <w:pPr>
        <w:ind w:left="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3"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3"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5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8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183"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the United Kingdom withdrew from the European Union, or Brexit, on January 31, 2020 and entered into a transition period during which it will continue its ongoing and complex negotiations with the European Union relating to the future trading relationship between the parties. Significant political and economic uncertainty remains about whether the terms of the relationship will differ materially from the terms before withdrawal, as well as about the possibility that a so-called “no deal” separation will occur if negotiations are not completed by the end of the transition period.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delay efforts to seek regulatory approval in the United Kingdom and/or European Union for our product candidates, which could significantly and materially harm our business.</w:t>
      </w:r>
    </w:p>
    <w:p>
      <w:pPr>
        <w:spacing w:after="0" w:line="158"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75"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These laws include:</w:t>
      </w:r>
    </w:p>
    <w:p>
      <w:pPr>
        <w:spacing w:after="0" w:line="180" w:lineRule="exact"/>
        <w:rPr>
          <w:sz w:val="20"/>
          <w:szCs w:val="20"/>
          <w:color w:val="auto"/>
        </w:rPr>
      </w:pPr>
    </w:p>
    <w:p>
      <w:pPr>
        <w:ind w:left="1020" w:right="99" w:hanging="322"/>
        <w:spacing w:after="0" w:line="253"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 Under federal government regulations, some arrangements, known as safe harbors, are deemed not to violate the federal Anti-Kickback Statute.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 federal Anti-Kickback Statute;</w:t>
      </w:r>
    </w:p>
    <w:p>
      <w:pPr>
        <w:spacing w:after="0" w:line="194" w:lineRule="exact"/>
        <w:rPr>
          <w:rFonts w:ascii="Times New Roman" w:cs="Times New Roman" w:eastAsia="Times New Roman" w:hAnsi="Times New Roman"/>
          <w:sz w:val="18"/>
          <w:szCs w:val="18"/>
          <w:color w:val="auto"/>
        </w:rPr>
      </w:pPr>
    </w:p>
    <w:p>
      <w:pPr>
        <w:ind w:left="1020" w:right="159" w:hanging="322"/>
        <w:spacing w:after="0" w:line="25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88" w:lineRule="exact"/>
        <w:rPr>
          <w:rFonts w:ascii="Times New Roman" w:cs="Times New Roman" w:eastAsia="Times New Roman" w:hAnsi="Times New Roman"/>
          <w:sz w:val="18"/>
          <w:szCs w:val="18"/>
          <w:color w:val="auto"/>
        </w:rPr>
      </w:pPr>
    </w:p>
    <w:p>
      <w:pPr>
        <w:ind w:left="1020" w:right="79" w:hanging="322"/>
        <w:spacing w:after="0" w:line="25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87" w:lineRule="exact"/>
        <w:rPr>
          <w:rFonts w:ascii="Times New Roman" w:cs="Times New Roman" w:eastAsia="Times New Roman" w:hAnsi="Times New Roman"/>
          <w:sz w:val="18"/>
          <w:szCs w:val="18"/>
          <w:color w:val="auto"/>
        </w:rPr>
      </w:pPr>
    </w:p>
    <w:p>
      <w:pPr>
        <w:ind w:left="1020" w:right="179" w:hanging="322"/>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79" w:lineRule="exact"/>
        <w:rPr>
          <w:rFonts w:ascii="Times New Roman" w:cs="Times New Roman" w:eastAsia="Times New Roman" w:hAnsi="Times New Roman"/>
          <w:sz w:val="18"/>
          <w:szCs w:val="18"/>
          <w:color w:val="auto"/>
        </w:rPr>
      </w:pPr>
    </w:p>
    <w:p>
      <w:pPr>
        <w:ind w:left="1020" w:right="239" w:hanging="322"/>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61" w:lineRule="exact"/>
        <w:rPr>
          <w:rFonts w:ascii="Times New Roman" w:cs="Times New Roman" w:eastAsia="Times New Roman" w:hAnsi="Times New Roman"/>
          <w:sz w:val="18"/>
          <w:szCs w:val="18"/>
          <w:color w:val="auto"/>
        </w:rPr>
      </w:pPr>
    </w:p>
    <w:p>
      <w:pPr>
        <w:ind w:left="1020" w:right="419" w:hanging="322"/>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39" w:hanging="322"/>
        <w:spacing w:after="0" w:line="25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ACA, which requires certain manufacturers of drugs, devices, biologics, and medical supplies to report annually to the Centers for Medicare &amp; Medicaid Services, or CMS, information related to payments and other transfers of value to physicians (defined to include doctors, dentists, optometrists, podiatrists and chiropractors), certain other healthcare providers starting in 2022, and teaching hospitals, and ownership and investment interests held by physicians and other healthcare providers and their immediate family members;</w:t>
      </w:r>
    </w:p>
    <w:p>
      <w:pPr>
        <w:spacing w:after="0" w:line="187" w:lineRule="exact"/>
        <w:rPr>
          <w:rFonts w:ascii="Times New Roman" w:cs="Times New Roman" w:eastAsia="Times New Roman" w:hAnsi="Times New Roman"/>
          <w:sz w:val="18"/>
          <w:szCs w:val="18"/>
          <w:color w:val="auto"/>
        </w:rPr>
      </w:pPr>
    </w:p>
    <w:p>
      <w:pPr>
        <w:ind w:left="1020" w:right="79" w:hanging="322"/>
        <w:spacing w:after="0" w:line="253"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pricing information; and state laws governing the privacy and security of health information (or personal information generally) in certain circumstances, many of which differ from each other in significant ways, thus complicating compliance efforts; and</w:t>
      </w:r>
    </w:p>
    <w:p>
      <w:pPr>
        <w:spacing w:after="0" w:line="194" w:lineRule="exact"/>
        <w:rPr>
          <w:rFonts w:ascii="Times New Roman" w:cs="Times New Roman" w:eastAsia="Times New Roman" w:hAnsi="Times New Roman"/>
          <w:sz w:val="18"/>
          <w:szCs w:val="18"/>
          <w:color w:val="auto"/>
        </w:rPr>
      </w:pPr>
    </w:p>
    <w:p>
      <w:pPr>
        <w:ind w:left="1020" w:right="31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healthcare providers.</w:t>
      </w:r>
    </w:p>
    <w:p>
      <w:pPr>
        <w:spacing w:after="0" w:line="16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additional reporting obligations and oversight if we become subject to a corporate integrity agreement or other agreement to resolve allegations of non-compliance with these laws, and imprisonment, any of which could adversely affect our ability to market our products and adversely impact our financial results.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our business will suffer because we might not be able to fund future operations.</w:t>
      </w:r>
    </w:p>
    <w:p>
      <w:pPr>
        <w:spacing w:after="0" w:line="15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we develop or acquire, including, among others:</w:t>
      </w:r>
    </w:p>
    <w:p>
      <w:pPr>
        <w:spacing w:after="0" w:line="162" w:lineRule="exact"/>
        <w:rPr>
          <w:sz w:val="20"/>
          <w:szCs w:val="20"/>
          <w:color w:val="auto"/>
        </w:rPr>
      </w:pPr>
    </w:p>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pacing w:after="0" w:line="117" w:lineRule="exact"/>
        <w:rPr>
          <w:rFonts w:ascii="Times New Roman" w:cs="Times New Roman" w:eastAsia="Times New Roman" w:hAnsi="Times New Roman"/>
          <w:sz w:val="18"/>
          <w:szCs w:val="18"/>
          <w:color w:val="auto"/>
        </w:rPr>
      </w:pPr>
    </w:p>
    <w:p>
      <w:pPr>
        <w:ind w:left="1020" w:right="27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 care community of the effectiveness and safety of our products for their indicated applications and treatments;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1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72"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have been granted Orphan Drug Designation for BXCL701 for the treatment of pancreatic cancer, melanoma and acute myeloid leukemia and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65"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Regulatory authorities in some jurisdictions, including the United States and Europe,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indications or for our other product candidates. There can be no assurances that we will be able to obtain such designations.</w:t>
      </w:r>
    </w:p>
    <w:p>
      <w:pPr>
        <w:spacing w:after="0" w:line="17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188"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229"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89"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8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80" w:lineRule="exact"/>
        <w:rPr>
          <w:sz w:val="20"/>
          <w:szCs w:val="20"/>
          <w:color w:val="auto"/>
        </w:rPr>
      </w:pPr>
    </w:p>
    <w:p>
      <w:pPr>
        <w:ind w:left="60" w:right="299" w:firstLine="324"/>
        <w:spacing w:after="0" w:line="274" w:lineRule="auto"/>
        <w:rPr>
          <w:sz w:val="20"/>
          <w:szCs w:val="20"/>
          <w:color w:val="auto"/>
        </w:rPr>
      </w:pPr>
      <w:r>
        <w:rPr>
          <w:rFonts w:ascii="Times New Roman" w:cs="Times New Roman" w:eastAsia="Times New Roman" w:hAnsi="Times New Roman"/>
          <w:sz w:val="17"/>
          <w:szCs w:val="17"/>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72"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59"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83" w:lineRule="exact"/>
        <w:rPr>
          <w:sz w:val="20"/>
          <w:szCs w:val="20"/>
          <w:color w:val="auto"/>
        </w:rPr>
      </w:pPr>
    </w:p>
    <w:p>
      <w:pPr>
        <w:ind w:left="1020" w:right="81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BXCL501, BXCL701 and our other product candidates;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BXCL501, BXCL701 and our other product candidates;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BXCL501, BXCL701 and our other product candidates are approved;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 candidates compared to existing therapies;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 care laws, regulations, and medical policies; and</w:t>
      </w:r>
    </w:p>
    <w:p>
      <w:pPr>
        <w:spacing w:after="0" w:line="117"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codes and coverage in select jurisdictions, and future changes to reimbursement policies of government and third-party payors.</w:t>
      </w:r>
    </w:p>
    <w:p>
      <w:pPr>
        <w:spacing w:after="0" w:line="5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our product candidates’ commercial success.</w:t>
      </w:r>
    </w:p>
    <w:p>
      <w:pPr>
        <w:spacing w:after="0" w:line="229" w:lineRule="exact"/>
        <w:rPr>
          <w:sz w:val="20"/>
          <w:szCs w:val="20"/>
          <w:color w:val="auto"/>
        </w:rPr>
      </w:pPr>
    </w:p>
    <w:p>
      <w:pPr>
        <w:ind w:left="60" w:right="139" w:firstLine="324"/>
        <w:spacing w:after="0" w:line="274" w:lineRule="auto"/>
        <w:rPr>
          <w:sz w:val="20"/>
          <w:szCs w:val="20"/>
          <w:color w:val="auto"/>
        </w:rPr>
      </w:pPr>
      <w:r>
        <w:rPr>
          <w:rFonts w:ascii="Times New Roman" w:cs="Times New Roman" w:eastAsia="Times New Roman" w:hAnsi="Times New Roman"/>
          <w:sz w:val="17"/>
          <w:szCs w:val="17"/>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73" w:lineRule="exact"/>
        <w:rPr>
          <w:sz w:val="20"/>
          <w:szCs w:val="20"/>
          <w:color w:val="auto"/>
        </w:rPr>
      </w:pPr>
    </w:p>
    <w:p>
      <w:pPr>
        <w:ind w:left="60" w:right="279" w:firstLine="324"/>
        <w:spacing w:after="0" w:line="274" w:lineRule="auto"/>
        <w:rPr>
          <w:sz w:val="20"/>
          <w:szCs w:val="20"/>
          <w:color w:val="auto"/>
        </w:rPr>
      </w:pPr>
      <w:r>
        <w:rPr>
          <w:rFonts w:ascii="Times New Roman" w:cs="Times New Roman" w:eastAsia="Times New Roman" w:hAnsi="Times New Roman"/>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foreign jurisdictions, there have been a number of legislative and regulatory proposals to change the health care system in ways that could affect our ability to sell our products profitably.</w:t>
      </w:r>
    </w:p>
    <w:p>
      <w:pPr>
        <w:spacing w:after="0" w:line="16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as amended by the Health Care and Education Reconciliation Act, or the ACA has substantially changed the way healthcare is financed by both government health plans and private insurers, and significantly impacts the pharmaceutical industry. The ACA contains a number of provisions that are expected to impact our business and operations in ways that may negatively affect our potential revenues in the future. For example, the ACA imposes a non-deductible excise tax on pharmaceutical manufacturers or importers that sell branded prescription drugs to government programs which we believe will increase the cost of our products. In addition, as part of the ACA’s provisions closing a funding gap that currently exists in the Medicare Part D prescription drug program, we will be required to provide a discount on branded prescription drugs equal to 50% of the government-negotiated price, for drugs provided to certain beneficiaries who fall within the donut hole. Similarly, ACA increases the level of Medicaid rebates payable by manufacturers of brand-name drugs from 15.1% to 23.1% and requires collection of rebates for drugs paid by Medicaid managed care organizations. The ACA also includes significant changes to the 340B drug discount program including expansion of the list of eligible covered entities that may purchase drugs under the program. At the same time, the expansion in eligibility for health insurance benefits created under ACA is expected to increase the number of patients with insurance coverage who may receive our products. While it is too early to predict all the specific effects the ACA or any future healthcare reform legislation will have on our business, they could have a material adverse effect on our business and financial condition.</w:t>
      </w:r>
    </w:p>
    <w:p>
      <w:pPr>
        <w:spacing w:after="0" w:line="19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Affordable Care Act, and we expect there will be additional challenges and amendments to the ACA in the future. For example, the Tax Cuts and Jobs Act, or the Tax Act, was enacted, which, among other things, removes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if any, or other efforts to challenge, repeal or replace the ACA will impact the law, or our business or financial condition.</w:t>
      </w:r>
    </w:p>
    <w:p>
      <w:pPr>
        <w:spacing w:after="0" w:line="194"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 the Budget Control Act of 2011, which resulted in aggregate reductions of Medicare payments to providers of 2% per fiscal year, which went into effect on April 1, 2013 and, due to subsequent legislative amendments to the statute, will remain in effect through 2029 unless additional Congressional action is taken, as well as the American Taxpayer Relief Act of 2012, which, among other things, further reduced Medicare payments to several types of providers, including hospitals, and increased the statute of limitations period for the government to recover overpayments to providers from three to five years.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Recently, there has also been heightened government scrutiny over the manner in which manufacturers set prices for their marketed products, which has resulted in several Congressional inquiries and proposed and enacted legislation designed to, among other things, reform government program reimbursement methodologies.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Furthermore, there has been increased interest by third party payors and governmental authorities in reference pricing systems and publication of discounts and list prices.</w:t>
      </w:r>
    </w:p>
    <w:p>
      <w:pPr>
        <w:spacing w:after="0" w:line="19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adequate coverage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reimbursement approval for a product, our ability to generate revenues and achieve or maintain profitability, and the level of taxes that we are required to pay.</w:t>
      </w:r>
    </w:p>
    <w:p>
      <w:pPr>
        <w:spacing w:after="0" w:line="16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88"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22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59"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BioXcel owned approximately 37.0% of the economic interest and voting power of our outstanding common stock. Even though BioXcel controls less than a majority of the voting power of our outstanding common stock, it may influence the outcome of such corporate actions so long as it owns a significant portion of our common stock.</w:t>
      </w:r>
    </w:p>
    <w:p>
      <w:pPr>
        <w:spacing w:after="0" w:line="176"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75"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Second Amended and Restated Shared Services Agreement dated March 6, 2020, or the Services Agreement, and the Amended and Restated Asset Contribution Agreement, or the Contribution Agreement, that we have entered into with BioXcel have not been negotiated on behalf of BioXcel by persons consisting solely of disinterested BioXcel directors.</w:t>
      </w:r>
    </w:p>
    <w:p>
      <w:pPr>
        <w:spacing w:after="0" w:line="18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to provide us with certain services for our business.</w:t>
      </w:r>
    </w:p>
    <w:p>
      <w:pPr>
        <w:spacing w:after="0" w:line="229"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Certain administrative services required by us for the operation of our business have historically been provided by BioXcel, including services related to insurance and risk management, accounting and human resources. Under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Services Agreement, BioXcel has provided us with various services and will continue to do so until we are able to build our own capabilities in the transition areas. We believe it has been efficient for BioXcel to provide these services for us to facilitate the efficient operation of our business as we transition to becoming an independent, public company. At our election, or if BioXcel does not or is unable to perform its obligations under the Services Agreement, we will be required to provide these services ourselves or to obtain substitute arrangements with other third parties. Virtually all of these administrative services have transitioned to our control. However, we may be unable to continue to provide these services because of financial or other constraints or we may be unable to implement substitute arrangements on a timely basis on terms that are favorable to us, or at all.</w:t>
      </w:r>
    </w:p>
    <w:p>
      <w:pPr>
        <w:spacing w:after="0" w:line="19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exercise no control over the activities of BioXcel other than the contractual rights we have pursuant to our Services Agreement and Contribution Agreement. Because of our historical relationship with our Parent, our reputation is also tied to BioXcel. We may be subject to reputational harm, or our relationships with existing and potential clients, third-party research organizations, consultants and other business partners could be harmed if BioXcel or any of its affiliates, previously, or in the future, among other things, engages in poor business practices, restructures or files for bankruptcy, becomes subject to litigation or otherwise damages its reputation or business prospects. Any of these events might in turn adversely affect our reputation, revenues and/or business prospects, and may also adversely affect our access to EvolverAI and BioXcel’s collaborative services.</w:t>
      </w:r>
    </w:p>
    <w:p>
      <w:pPr>
        <w:spacing w:after="0" w:line="19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also rely, in part, on BioXcel and access to EvolverAI, a research and development engine created and owned by BioXcel, to identify, research and develop potential product candidates in neuroscience and immuno-oncology. The Company has negotiated a collaborative services agreement with BioXcel pursuant to which BioXcel shall perform product identification and related services for us utilizing EvolverAI. On March 6, 2020, by mutual agreement, we agreed to extend this arrangement by one year to December 31, 2020.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IPO.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we cannot control whether or not they devote sufficient time, skill and resources to our ongoing development programs. We also cannot ensure that BioXcel retains sufficient resources of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187"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by our executive officers and our directors may create, or may create the appearance of, conflicts of interest.</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management of and beneficial ownership in BioXcel by our executive officers and our directors may create, or may create the appearance of, conflicts of interest. For example, each of our Chief Executive Officer and a director on our Board, Vimal Mehta, Ph.D., and our Chief Digital Officer and a director on our Board, Krishnan Nandabalan, Ph.D., is a manager of BioXcel, as well as a director, officer and stockholder of BioXcel Holdings, Inc., BioXcel’s parent company. Additionally, as of the date of this Quarterly Report, each of Dr. Mehta and Dr. Nandabalan, through their beneficial ownership of BioXcel, beneficially own approximately 42.17% of the Company. Management and ownership by our executive officers and directors in BioXcel,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with respect to our past and ongoing relationships could harm our business operations.</w:t>
      </w:r>
    </w:p>
    <w:p>
      <w:pPr>
        <w:spacing w:after="0" w:line="159"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and us in a number of areas relating to our past and ongoing relationships, including:</w:t>
      </w:r>
    </w:p>
    <w:p>
      <w:pPr>
        <w:spacing w:after="0" w:line="162" w:lineRule="exact"/>
        <w:rPr>
          <w:sz w:val="20"/>
          <w:szCs w:val="20"/>
          <w:color w:val="auto"/>
        </w:rPr>
      </w:pPr>
    </w:p>
    <w:p>
      <w:pPr>
        <w:ind w:left="1020" w:right="79" w:hanging="322"/>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non-compete provisions applicable to BioXcel and us;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of all or any portion of its ownership interest in us;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has agreed to provide us; and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and us.</w:t>
      </w:r>
    </w:p>
    <w:p>
      <w:pPr>
        <w:spacing w:after="0" w:line="117"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76"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may experience challenges with the acquisition, development, enhancement or deployment of technology necessary for EvolverAI.</w:t>
      </w:r>
    </w:p>
    <w:p>
      <w:pPr>
        <w:spacing w:after="0" w:line="15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 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8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Drug manufacturing facilities are subject to inspection before the FDA will issue an approval to market a new drug product, and all of the manufacturers that we intend to use must adhere to the cGMP regulations prescribed by the FDA.</w:t>
      </w:r>
    </w:p>
    <w:p>
      <w:pPr>
        <w:spacing w:after="0" w:line="194"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expect therefore to rely on third-party manufacturers for clinical supplies of our product candidates that we may develop. These third-party manufacturers will be required to comply with cGMPs,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94"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may be affected, which could disrupt their activities and, as a result, we could face difficulty sourcing key components necessary to produce supply of our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7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84"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5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 candidates may include the formation of collaborative arrangements with third parties. We are a party to several collaboration agreements (research and clinical).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87" w:lineRule="exact"/>
        <w:rPr>
          <w:sz w:val="20"/>
          <w:szCs w:val="20"/>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any future product candidates.</w:t>
      </w:r>
    </w:p>
    <w:p>
      <w:pPr>
        <w:spacing w:after="0" w:line="117"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88"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75" w:lineRule="exact"/>
        <w:rPr>
          <w:sz w:val="20"/>
          <w:szCs w:val="20"/>
          <w:color w:val="auto"/>
        </w:rPr>
      </w:pPr>
    </w:p>
    <w:p>
      <w:pPr>
        <w:jc w:val="both"/>
        <w:ind w:left="60" w:right="15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jc w:val="both"/>
        <w:ind w:left="60" w:right="499"/>
        <w:spacing w:after="0" w:line="277" w:lineRule="auto"/>
        <w:rPr>
          <w:sz w:val="20"/>
          <w:szCs w:val="20"/>
          <w:color w:val="auto"/>
        </w:rPr>
      </w:pPr>
      <w:r>
        <w:rPr>
          <w:rFonts w:ascii="Times New Roman" w:cs="Times New Roman" w:eastAsia="Times New Roman" w:hAnsi="Times New Roman"/>
          <w:sz w:val="17"/>
          <w:szCs w:val="17"/>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enforced by the FDA, the Competent Authorities of the member states of the European Economic Area, or EEA, and comparable foreign regulatory authorities for all of our products in clinical development.</w:t>
      </w:r>
    </w:p>
    <w:p>
      <w:pPr>
        <w:spacing w:after="0" w:line="16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we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9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94"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outbreak of the novel coronavirus disease, COVID-19, or other pandemic, epidemic or outbreak of an infectious disease may materially and adversely impact our business, including our preclinical studies and clinical trials.</w:t>
      </w:r>
    </w:p>
    <w:p>
      <w:pPr>
        <w:spacing w:after="0" w:line="136"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2020, the novel coronavirus disease, COVID-19, was declared a pandemic and has spread across the globe, including throughout the United States and Europe.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implemented a work-from-home policy for all employees and have restricted on-site activities to certain chemical, manufacturing and control (CMC) and clinical trial activities.</w:t>
      </w:r>
    </w:p>
    <w:p>
      <w:pPr>
        <w:spacing w:after="0" w:line="200" w:lineRule="exact"/>
        <w:rPr>
          <w:sz w:val="20"/>
          <w:szCs w:val="20"/>
          <w:color w:val="auto"/>
        </w:rPr>
      </w:pPr>
    </w:p>
    <w:p>
      <w:pPr>
        <w:spacing w:after="0" w:line="205"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COVID-19 pandemic or other pandemic, epidemic or outbreak of an infectious disease, we may experience disruptions that could severely impact our business, preclinical studies and clinical trials, including:</w:t>
      </w:r>
    </w:p>
    <w:p>
      <w:pPr>
        <w:spacing w:after="0" w:line="162" w:lineRule="exact"/>
        <w:rPr>
          <w:sz w:val="20"/>
          <w:szCs w:val="20"/>
          <w:color w:val="auto"/>
        </w:rPr>
      </w:pPr>
    </w:p>
    <w:p>
      <w:pPr>
        <w:ind w:left="1020" w:hanging="322"/>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119" w:hanging="322"/>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53" w:lineRule="exact"/>
        <w:rPr>
          <w:rFonts w:ascii="Times New Roman" w:cs="Times New Roman" w:eastAsia="Times New Roman" w:hAnsi="Times New Roman"/>
          <w:sz w:val="18"/>
          <w:szCs w:val="18"/>
          <w:color w:val="auto"/>
        </w:rPr>
      </w:pPr>
    </w:p>
    <w:p>
      <w:pPr>
        <w:ind w:left="1020" w:right="119" w:hanging="322"/>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1020" w:right="259" w:hanging="322"/>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1" w:lineRule="exact"/>
        <w:rPr>
          <w:rFonts w:ascii="Times New Roman" w:cs="Times New Roman" w:eastAsia="Times New Roman" w:hAnsi="Times New Roman"/>
          <w:sz w:val="18"/>
          <w:szCs w:val="18"/>
          <w:color w:val="auto"/>
        </w:rPr>
      </w:pPr>
    </w:p>
    <w:p>
      <w:pPr>
        <w:ind w:left="1020" w:right="179" w:hanging="322"/>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53" w:lineRule="exact"/>
        <w:rPr>
          <w:rFonts w:ascii="Times New Roman" w:cs="Times New Roman" w:eastAsia="Times New Roman" w:hAnsi="Times New Roman"/>
          <w:sz w:val="18"/>
          <w:szCs w:val="18"/>
          <w:color w:val="auto"/>
        </w:rPr>
      </w:pPr>
    </w:p>
    <w:p>
      <w:pPr>
        <w:ind w:left="1020" w:right="359" w:hanging="322"/>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67"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resulting from restrictions on our on-site activities;</w:t>
      </w:r>
    </w:p>
    <w:p>
      <w:pPr>
        <w:spacing w:after="0" w:line="53" w:lineRule="exact"/>
        <w:rPr>
          <w:rFonts w:ascii="Times New Roman" w:cs="Times New Roman" w:eastAsia="Times New Roman" w:hAnsi="Times New Roman"/>
          <w:sz w:val="18"/>
          <w:szCs w:val="18"/>
          <w:color w:val="auto"/>
        </w:rPr>
      </w:pPr>
    </w:p>
    <w:p>
      <w:pPr>
        <w:jc w:val="both"/>
        <w:ind w:left="1020" w:right="199" w:hanging="322"/>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7" w:lineRule="exact"/>
        <w:rPr>
          <w:rFonts w:ascii="Times New Roman" w:cs="Times New Roman" w:eastAsia="Times New Roman" w:hAnsi="Times New Roman"/>
          <w:sz w:val="18"/>
          <w:szCs w:val="18"/>
          <w:color w:val="auto"/>
        </w:rPr>
      </w:pPr>
    </w:p>
    <w:p>
      <w:pPr>
        <w:ind w:left="1020" w:right="759" w:hanging="322"/>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prolonged remote work arrangements, such as strains on our business continuity plans, cybersecurity risks, and inability of certain employees to perform their work remotely; and</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33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rate of infection, the duration of the pandemic and subsequent waves of infection, travel restrictions and social distancing in the United States and other countries, business closures or business disruptions, the timing and effectiveness of any vaccines and the effectiveness of actions taken in the United States and other countries to contain and treat the disease. If we or any of the third parties with whom we engage were to experience shutdowns or other business disruptions, our ability to conduct our business in the manner and on the timelines presently planned could be materially and negatively impacted. Additionally, concerns over the economic impact of COVID-19 pandemic have caused extreme volatility in financial and other capital markets which has and may continue to adversely impact our stock price and our ability to access capital markets.</w:t>
      </w:r>
    </w:p>
    <w:p>
      <w:pPr>
        <w:spacing w:after="0" w:line="19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5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2020, we employed a total of 40 full-time employees. In addition, we have access to certain of BioXcel’s employees and resources through the various agreements we have entered into with BioXcel. Our current internal departments include finance, research and development and administration. We have been expanding our management team to include an operational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need to effectively manage our operations, growth and various projects requires that we:</w:t>
      </w:r>
    </w:p>
    <w:p>
      <w:pPr>
        <w:spacing w:after="0" w:line="225" w:lineRule="exact"/>
        <w:rPr>
          <w:sz w:val="20"/>
          <w:szCs w:val="20"/>
          <w:color w:val="auto"/>
        </w:rPr>
      </w:pPr>
    </w:p>
    <w:p>
      <w:pPr>
        <w:ind w:left="1020" w:right="299" w:hanging="322"/>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 including our planned clinical trials of BXCL501, BXCL701 and our other product candidates;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39" w:hanging="32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carrying out our contractual obligations to licensors, contractors and other third parties;</w:t>
      </w:r>
    </w:p>
    <w:p>
      <w:pPr>
        <w:spacing w:after="0" w:line="53" w:lineRule="exact"/>
        <w:rPr>
          <w:rFonts w:ascii="Times New Roman" w:cs="Times New Roman" w:eastAsia="Times New Roman" w:hAnsi="Times New Roman"/>
          <w:sz w:val="18"/>
          <w:szCs w:val="18"/>
          <w:color w:val="auto"/>
        </w:rPr>
      </w:pPr>
    </w:p>
    <w:p>
      <w:pPr>
        <w:ind w:left="1020" w:right="859" w:hanging="322"/>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and reporting systems and procedures; and</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sufficient numbers of talented employees.</w:t>
      </w:r>
    </w:p>
    <w:p>
      <w:pPr>
        <w:spacing w:after="0" w:line="117" w:lineRule="exact"/>
        <w:rPr>
          <w:sz w:val="20"/>
          <w:szCs w:val="20"/>
          <w:color w:val="auto"/>
        </w:rPr>
      </w:pPr>
    </w:p>
    <w:p>
      <w:pPr>
        <w:ind w:left="60" w:right="219" w:firstLine="324"/>
        <w:spacing w:after="0" w:line="268" w:lineRule="auto"/>
        <w:rPr>
          <w:sz w:val="20"/>
          <w:szCs w:val="20"/>
          <w:color w:val="auto"/>
        </w:rPr>
      </w:pPr>
      <w:r>
        <w:rPr>
          <w:rFonts w:ascii="Times New Roman" w:cs="Times New Roman" w:eastAsia="Times New Roman" w:hAnsi="Times New Roman"/>
          <w:sz w:val="17"/>
          <w:szCs w:val="17"/>
          <w:color w:val="auto"/>
        </w:rPr>
        <w:t>We may utilize the services of third 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80"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Vimal Mehta, our Chief Executive Officer, President, Secretary and a member of our Board, as well as the other principal members of our management, scientific and clinical team.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9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with the pharma market is limited overall. In addition, many of the companies with which we compete for experienced personnel have greater resources than we have.</w:t>
      </w:r>
    </w:p>
    <w:p>
      <w:pPr>
        <w:spacing w:after="0" w:line="18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internet,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8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We may acquire other companies or technologies, which could divert our management’s attention, result in dilution to our stockholders and otherwise disrupt our operations and adversely affect our operating results.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80"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0" w:lineRule="exact"/>
        <w:rPr>
          <w:sz w:val="20"/>
          <w:szCs w:val="20"/>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17" w:lineRule="exact"/>
        <w:rPr>
          <w:rFonts w:ascii="Times New Roman" w:cs="Times New Roman" w:eastAsia="Times New Roman" w:hAnsi="Times New Roman"/>
          <w:sz w:val="18"/>
          <w:szCs w:val="18"/>
          <w:color w:val="auto"/>
        </w:rPr>
      </w:pPr>
    </w:p>
    <w:p>
      <w:pPr>
        <w:ind w:left="1020" w:right="219" w:hanging="322"/>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53" w:lineRule="exact"/>
        <w:rPr>
          <w:rFonts w:ascii="Times New Roman" w:cs="Times New Roman" w:eastAsia="Times New Roman" w:hAnsi="Times New Roman"/>
          <w:sz w:val="18"/>
          <w:szCs w:val="18"/>
          <w:color w:val="auto"/>
        </w:rPr>
      </w:pPr>
    </w:p>
    <w:p>
      <w:pPr>
        <w:ind w:left="1020" w:right="239" w:hanging="322"/>
        <w:spacing w:after="0" w:line="312"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31" w:lineRule="exact"/>
        <w:rPr>
          <w:rFonts w:ascii="Times New Roman" w:cs="Times New Roman" w:eastAsia="Times New Roman" w:hAnsi="Times New Roman"/>
          <w:sz w:val="17"/>
          <w:szCs w:val="17"/>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17" w:lineRule="exact"/>
        <w:rPr>
          <w:rFonts w:ascii="Times New Roman" w:cs="Times New Roman" w:eastAsia="Times New Roman" w:hAnsi="Times New Roman"/>
          <w:sz w:val="18"/>
          <w:szCs w:val="18"/>
          <w:color w:val="auto"/>
        </w:rPr>
      </w:pPr>
    </w:p>
    <w:p>
      <w:pPr>
        <w:ind w:left="1020" w:right="279" w:hanging="322"/>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33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0"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2"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5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pandemics such as the COVID-19 pandemic,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8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83"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and information technology systems, adversely impact our financial results or result in the loss or exposure of confidential or sensitive product candidate, clinical trial, employee or Company information.</w:t>
      </w:r>
    </w:p>
    <w:p>
      <w:pPr>
        <w:spacing w:after="0" w:line="17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information technology systems have been and may in the future be attacked or breached by individuals or organizations intending to: obtain sensitive data regarding our business, our product candidates, clinical trials or other third parties with whom we do business; harm or disrupt our business operations; or otherwise misappropriate information or Company funds. A security compromise of our information technology systems or business operations could occur through a variety of methods such as cyber-attacks or cyber-intrusions over the Internet, malware, computer viruses, email spoofing, attachments to e-mails, persons inside our organization,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 For example, in September 2020, we were the victim of an email-based wire fraud that involved two electronic communications impersonating one of our vendors, resulting in our sending wires totaling $1.9 million to accounts controlled by the impersonator. We use our information technology systems to protect confidential or sensitive product candidate, clinical trial, employee and Company information. Any attack on such systems that results in the unauthorized release or loss of such information could have a material adverse effect on our business reputation, increase our costs and expose us to material legal claims and liability. If the unauthorized release or loss of product candidate, clinical trial, employee or other confidential or sensitive data were to occur, our operations and financial results and our share price could be adversely affected.</w:t>
      </w:r>
    </w:p>
    <w:p>
      <w:pPr>
        <w:spacing w:after="0" w:line="195"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Furthermore, the security measures employed by third-party service providers may prove to be ineffective at preventing breaches of their systems.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59"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225" w:lineRule="exact"/>
        <w:rPr>
          <w:sz w:val="20"/>
          <w:szCs w:val="20"/>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1020" w:right="15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020" w:right="17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53" w:lineRule="exact"/>
        <w:rPr>
          <w:rFonts w:ascii="Times New Roman" w:cs="Times New Roman" w:eastAsia="Times New Roman" w:hAnsi="Times New Roman"/>
          <w:sz w:val="18"/>
          <w:szCs w:val="18"/>
          <w:color w:val="auto"/>
        </w:rPr>
      </w:pPr>
    </w:p>
    <w:p>
      <w:pPr>
        <w:ind w:left="1020" w:right="399" w:hanging="322"/>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1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83"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research and development credits to offset future taxable income may be subject to certain limitations.</w:t>
      </w:r>
    </w:p>
    <w:p>
      <w:pPr>
        <w:spacing w:after="0" w:line="15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2019, we had federal and state net operating loss carryforwards, or NOLs, of approximately $16.4 million. Our NOLs arising before January 1, 2018 are subject to expiration and will begin to expire in 2037. As of December 31, 2019, we also had federal and state research and development and other tax credit carryforwards, or credits of approximately $1.3 million available to reduce future tax liabilities. The federal and state credits expire at various dates through 2037. These NOLs and credits could expire unused and be unavailable to offset future taxable income or income tax liabilities. In addition, in general, under Sections 382 and 383 of the Internal Revenue Code of 1986, as amended, or the Code, a corporation that undergoes an "ownership change" is subject to limitations on its ability to utilize its pre-change NOLs or credits to offset future taxable income or income tax liabilities. For these purposes, an ownership change generally occurs where the aggregate change in stock ownership of one or more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stockholders or groups of stockholders owning at least 5% of a corporation's stock exceeds 50 percentage points over a three-year period. Future changes in our stock ownership, including as a result of February 2020 offering of common stock, many of which are outside of our control, could result in an ownership change. Our NOLs or credits may also be impaired under state law. Accordingly, even if we attain profitability, we may not be able to utilize a material portion of our NOLs or credits. Furthermore, under the Tax Cuts and Jobs Act of 2017 and modified by the CARES Act signed on March 27, 2020, although the treatment of NOLs arising on or before December 31, 2017 has generally not changed, NOLs arising on or after January 1, 2018 and beyond may only be used to offset 80% of taxable income for tax years beginning after December 31, 2020. This change may require us to pay federal income taxes in future years despite generating a loss for federal income tax purposes in prior years.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7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patents and patent applications pending in the United States and in certain foreign jurisdictions. We own Patent Cooperation Treaty, or PCT, patent applications relating to our platform technologies covering methods of use and applications of the platform technologies. As of November 1, 2020, we have four allowed patents, three ex-U.S., which are relevant to our BXCL701 program, and one U.S., which is relevant to our BXCL501 program. 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94"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9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3"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40" w:lineRule="exact"/>
        <w:rPr>
          <w:sz w:val="20"/>
          <w:szCs w:val="20"/>
          <w:color w:val="auto"/>
        </w:rPr>
      </w:pPr>
    </w:p>
    <w:p>
      <w:pPr>
        <w:ind w:left="1020" w:right="139" w:hanging="322"/>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our patents;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may not result in issued patents;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399" w:hanging="322"/>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2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 Patent and Trademark Office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75"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020" w:hanging="322"/>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279" w:hanging="322"/>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17" w:lineRule="exact"/>
        <w:rPr>
          <w:rFonts w:ascii="Times New Roman" w:cs="Times New Roman" w:eastAsia="Times New Roman" w:hAnsi="Times New Roman"/>
          <w:sz w:val="18"/>
          <w:szCs w:val="18"/>
          <w:color w:val="auto"/>
        </w:rPr>
      </w:pPr>
    </w:p>
    <w:p>
      <w:pPr>
        <w:ind w:left="1020" w:right="379" w:hanging="322"/>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67" w:lineRule="exact"/>
        <w:rPr>
          <w:rFonts w:ascii="Times New Roman" w:cs="Times New Roman" w:eastAsia="Times New Roman" w:hAnsi="Times New Roman"/>
          <w:sz w:val="18"/>
          <w:szCs w:val="18"/>
          <w:color w:val="auto"/>
        </w:rPr>
      </w:pPr>
    </w:p>
    <w:p>
      <w:pPr>
        <w:ind w:left="1020" w:right="139" w:hanging="322"/>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68"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or ownership of our patents and other intellectual property.</w:t>
      </w:r>
    </w:p>
    <w:p>
      <w:pPr>
        <w:spacing w:after="0" w:line="241"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0"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5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will be submitted to the FDA for approval under Section 505(b)(2) of the Federal Food, Drug and Cosmetic Act, or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90"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 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other intellectual property rights.</w:t>
      </w:r>
    </w:p>
    <w:p>
      <w:pPr>
        <w:spacing w:after="0" w:line="15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 Patent and Trademark Office, or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93" w:lineRule="exact"/>
        <w:rPr>
          <w:sz w:val="20"/>
          <w:szCs w:val="20"/>
          <w:color w:val="auto"/>
        </w:rPr>
      </w:pPr>
    </w:p>
    <w:p>
      <w:pPr>
        <w:ind w:left="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which may prevent or delay our product development efforts and stop us from commercializing or increase the costs of commercializing our product candidates.</w:t>
      </w:r>
    </w:p>
    <w:p>
      <w:pPr>
        <w:spacing w:after="0" w:line="175"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misappropriating or otherwise violating the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products, or the manufacture or use of our product candidates, including interference proceedings, post grant review, inter partes review, and derivation proceedings before the USPTO and similar proceedings in foreign jurisdictions. 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93"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62" w:lineRule="exact"/>
        <w:rPr>
          <w:sz w:val="20"/>
          <w:szCs w:val="20"/>
          <w:color w:val="auto"/>
        </w:rPr>
      </w:pPr>
    </w:p>
    <w:p>
      <w:pPr>
        <w:ind w:left="1020" w:hanging="32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United States may be maintained in secrecy until the patents are issued;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are typically not published until 18 months after the priority date; and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1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88"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76"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5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92"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alleged trade secrets.</w:t>
      </w:r>
    </w:p>
    <w:p>
      <w:pPr>
        <w:spacing w:after="0" w:line="15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rights or personnel, which could adversely impact our business. Even if we are successful in defending against these claims, litigation could result in substantial costs and be a distraction to management.</w:t>
      </w:r>
    </w:p>
    <w:p>
      <w:pPr>
        <w:spacing w:after="0" w:line="158"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5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8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If we do not prevail in enforcing our intellectual property rights in this type of litigation, we may be subject to:</w:t>
      </w:r>
    </w:p>
    <w:p>
      <w:pPr>
        <w:spacing w:after="0" w:line="180" w:lineRule="exact"/>
        <w:rPr>
          <w:sz w:val="20"/>
          <w:szCs w:val="20"/>
          <w:color w:val="auto"/>
        </w:rPr>
      </w:pPr>
    </w:p>
    <w:p>
      <w:pPr>
        <w:ind w:left="1020" w:hanging="32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 party;</w:t>
      </w:r>
    </w:p>
    <w:p>
      <w:pPr>
        <w:spacing w:after="0" w:line="117" w:lineRule="exact"/>
        <w:rPr>
          <w:rFonts w:ascii="Times New Roman" w:cs="Times New Roman" w:eastAsia="Times New Roman" w:hAnsi="Times New Roman"/>
          <w:sz w:val="18"/>
          <w:szCs w:val="18"/>
          <w:color w:val="auto"/>
        </w:rPr>
      </w:pPr>
    </w:p>
    <w:p>
      <w:pPr>
        <w:ind w:left="1020" w:right="139" w:hanging="322"/>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pacing w:after="0" w:line="53" w:lineRule="exact"/>
        <w:rPr>
          <w:rFonts w:ascii="Times New Roman" w:cs="Times New Roman" w:eastAsia="Times New Roman" w:hAnsi="Times New Roman"/>
          <w:sz w:val="18"/>
          <w:szCs w:val="18"/>
          <w:color w:val="auto"/>
        </w:rPr>
      </w:pPr>
    </w:p>
    <w:p>
      <w:pPr>
        <w:ind w:left="1020" w:right="139" w:hanging="322"/>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6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3"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7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83" w:lineRule="exact"/>
        <w:rPr>
          <w:sz w:val="20"/>
          <w:szCs w:val="20"/>
          <w:color w:val="auto"/>
        </w:rPr>
      </w:pPr>
    </w:p>
    <w:p>
      <w:pPr>
        <w:ind w:left="60" w:right="639" w:firstLine="324"/>
        <w:spacing w:after="0" w:line="312" w:lineRule="auto"/>
        <w:rPr>
          <w:sz w:val="20"/>
          <w:szCs w:val="20"/>
          <w:color w:val="auto"/>
        </w:rPr>
      </w:pPr>
      <w:r>
        <w:rPr>
          <w:rFonts w:ascii="Times New Roman" w:cs="Times New Roman" w:eastAsia="Times New Roman" w:hAnsi="Times New Roman"/>
          <w:sz w:val="17"/>
          <w:szCs w:val="17"/>
          <w:color w:val="auto"/>
        </w:rPr>
        <w:t>In addition, enforcing and maintaining our intellectual property protection depends on compliance with various procedural, document submission, fee payment and other requirements imposed by the U.S. Patent and Trademark</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Office, courts and foreign government patent agencies, and our patent protection could be reduced or eliminated for non-compliance with these requirements.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2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0" w:lineRule="exact"/>
        <w:rPr>
          <w:sz w:val="20"/>
          <w:szCs w:val="20"/>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2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9" w:lineRule="exact"/>
        <w:rPr>
          <w:rFonts w:ascii="Times New Roman" w:cs="Times New Roman" w:eastAsia="Times New Roman" w:hAnsi="Times New Roman"/>
          <w:sz w:val="18"/>
          <w:szCs w:val="18"/>
          <w:color w:val="auto"/>
        </w:rPr>
      </w:pPr>
    </w:p>
    <w:p>
      <w:pPr>
        <w:ind w:left="1020" w:right="299" w:hanging="322"/>
        <w:spacing w:after="0" w:line="260"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73" w:lineRule="exact"/>
        <w:rPr>
          <w:rFonts w:ascii="Times New Roman" w:cs="Times New Roman" w:eastAsia="Times New Roman" w:hAnsi="Times New Roman"/>
          <w:sz w:val="18"/>
          <w:szCs w:val="18"/>
          <w:color w:val="auto"/>
        </w:rPr>
      </w:pPr>
    </w:p>
    <w:p>
      <w:pPr>
        <w:ind w:left="1020" w:right="4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53"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6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117" w:lineRule="exact"/>
        <w:rPr>
          <w:rFonts w:ascii="Times New Roman" w:cs="Times New Roman" w:eastAsia="Times New Roman" w:hAnsi="Times New Roman"/>
          <w:sz w:val="18"/>
          <w:szCs w:val="18"/>
          <w:color w:val="auto"/>
        </w:rPr>
      </w:pPr>
    </w:p>
    <w:p>
      <w:pPr>
        <w:ind w:left="1020" w:right="33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117" w:lineRule="exact"/>
        <w:rPr>
          <w:rFonts w:ascii="Times New Roman" w:cs="Times New Roman" w:eastAsia="Times New Roman" w:hAnsi="Times New Roman"/>
          <w:sz w:val="18"/>
          <w:szCs w:val="18"/>
          <w:color w:val="auto"/>
        </w:rPr>
      </w:pPr>
    </w:p>
    <w:p>
      <w:pPr>
        <w:ind w:left="1020" w:right="21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the FDA’s review of our planned preclinical and clinical trials;</w:t>
      </w:r>
    </w:p>
    <w:p>
      <w:pPr>
        <w:spacing w:after="0" w:line="53" w:lineRule="exact"/>
        <w:rPr>
          <w:rFonts w:ascii="Times New Roman" w:cs="Times New Roman" w:eastAsia="Times New Roman" w:hAnsi="Times New Roman"/>
          <w:sz w:val="18"/>
          <w:szCs w:val="18"/>
          <w:color w:val="auto"/>
        </w:rPr>
      </w:pPr>
    </w:p>
    <w:p>
      <w:pPr>
        <w:ind w:left="1020" w:right="5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117" w:lineRule="exact"/>
        <w:rPr>
          <w:rFonts w:ascii="Times New Roman" w:cs="Times New Roman" w:eastAsia="Times New Roman" w:hAnsi="Times New Roman"/>
          <w:sz w:val="18"/>
          <w:szCs w:val="18"/>
          <w:color w:val="auto"/>
        </w:rPr>
      </w:pPr>
    </w:p>
    <w:p>
      <w:pPr>
        <w:ind w:left="1020" w:right="479" w:hanging="322"/>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999" w:hanging="322"/>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pacing w:after="0" w:line="53" w:lineRule="exact"/>
        <w:rPr>
          <w:rFonts w:ascii="Times New Roman" w:cs="Times New Roman" w:eastAsia="Times New Roman" w:hAnsi="Times New Roman"/>
          <w:sz w:val="18"/>
          <w:szCs w:val="18"/>
          <w:color w:val="auto"/>
        </w:rPr>
      </w:pPr>
    </w:p>
    <w:p>
      <w:pPr>
        <w:ind w:left="1020" w:right="339" w:hanging="322"/>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117" w:lineRule="exact"/>
        <w:rPr>
          <w:rFonts w:ascii="Times New Roman" w:cs="Times New Roman" w:eastAsia="Times New Roman" w:hAnsi="Times New Roman"/>
          <w:sz w:val="18"/>
          <w:szCs w:val="18"/>
          <w:color w:val="auto"/>
        </w:rPr>
      </w:pPr>
    </w:p>
    <w:p>
      <w:pPr>
        <w:ind w:left="1020" w:right="119" w:hanging="322"/>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117" w:lineRule="exact"/>
        <w:rPr>
          <w:sz w:val="20"/>
          <w:szCs w:val="20"/>
          <w:color w:val="auto"/>
        </w:rPr>
      </w:pPr>
    </w:p>
    <w:p>
      <w:pPr>
        <w:jc w:val="both"/>
        <w:ind w:left="60" w:right="139" w:firstLine="324"/>
        <w:spacing w:after="0" w:line="281" w:lineRule="auto"/>
        <w:rPr>
          <w:sz w:val="20"/>
          <w:szCs w:val="20"/>
          <w:color w:val="auto"/>
        </w:rPr>
      </w:pPr>
      <w:r>
        <w:rPr>
          <w:rFonts w:ascii="Times New Roman" w:cs="Times New Roman" w:eastAsia="Times New Roman" w:hAnsi="Times New Roman"/>
          <w:sz w:val="17"/>
          <w:szCs w:val="17"/>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60"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certain of our stockholders control a significant number of shares of our common stock, they may have effective control over actions requiring stockholder approval.</w:t>
      </w:r>
    </w:p>
    <w:p>
      <w:pPr>
        <w:spacing w:after="0" w:line="15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2020, our directors, executive officers and principal stockholders, and their respective affiliates, beneficially owned approximately 39.2%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87" w:lineRule="exact"/>
        <w:rPr>
          <w:sz w:val="20"/>
          <w:szCs w:val="20"/>
          <w:color w:val="auto"/>
        </w:rPr>
      </w:pPr>
    </w:p>
    <w:p>
      <w:pPr>
        <w:ind w:left="1020" w:hanging="32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corporate control;</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13"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5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72" w:lineRule="exact"/>
        <w:rPr>
          <w:sz w:val="20"/>
          <w:szCs w:val="20"/>
          <w:color w:val="auto"/>
        </w:rPr>
      </w:pPr>
    </w:p>
    <w:p>
      <w:pPr>
        <w:jc w:val="both"/>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or the 1940 Act, applicable restrictions could make it impractical for us to continue our business as contemplated and could have a material adverse effect on our business, financial condition and results of operations.</w:t>
      </w:r>
    </w:p>
    <w:p>
      <w:pPr>
        <w:spacing w:after="0" w:line="175" w:lineRule="exact"/>
        <w:rPr>
          <w:sz w:val="20"/>
          <w:szCs w:val="20"/>
          <w:color w:val="auto"/>
        </w:rPr>
      </w:pPr>
    </w:p>
    <w:p>
      <w:pPr>
        <w:ind w:left="60" w:right="299" w:firstLine="324"/>
        <w:spacing w:after="0" w:line="281" w:lineRule="auto"/>
        <w:rPr>
          <w:sz w:val="20"/>
          <w:szCs w:val="20"/>
          <w:color w:val="auto"/>
        </w:rPr>
      </w:pPr>
      <w:r>
        <w:rPr>
          <w:rFonts w:ascii="Times New Roman" w:cs="Times New Roman" w:eastAsia="Times New Roman" w:hAnsi="Times New Roman"/>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76"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83"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are able to avail ourselves of reduced disclosure requirements applicable to emerging growth companies and small reporting companies, which could make our common stock less attractive to investors.</w:t>
      </w:r>
    </w:p>
    <w:p>
      <w:pPr>
        <w:spacing w:after="0" w:line="175"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 (the “SEC”).</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and we will remain a smaller reporting company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88"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at risk of securities class action litigation.</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76"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5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94"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83" w:lineRule="exact"/>
        <w:rPr>
          <w:sz w:val="20"/>
          <w:szCs w:val="20"/>
          <w:color w:val="auto"/>
        </w:rPr>
      </w:pPr>
    </w:p>
    <w:p>
      <w:pPr>
        <w:ind w:left="1020" w:hanging="32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pacing w:after="0" w:line="117" w:lineRule="exact"/>
        <w:rPr>
          <w:rFonts w:ascii="Times New Roman" w:cs="Times New Roman" w:eastAsia="Times New Roman" w:hAnsi="Times New Roman"/>
          <w:sz w:val="18"/>
          <w:szCs w:val="18"/>
          <w:color w:val="auto"/>
        </w:rPr>
      </w:pPr>
    </w:p>
    <w:p>
      <w:pPr>
        <w:ind w:left="1020" w:right="75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53" w:lineRule="exact"/>
        <w:rPr>
          <w:rFonts w:ascii="Times New Roman" w:cs="Times New Roman" w:eastAsia="Times New Roman" w:hAnsi="Times New Roman"/>
          <w:sz w:val="18"/>
          <w:szCs w:val="18"/>
          <w:color w:val="auto"/>
        </w:rPr>
      </w:pPr>
    </w:p>
    <w:p>
      <w:pPr>
        <w:ind w:left="1020" w:right="339" w:hanging="322"/>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50"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United States are expensive and time-consuming, and our management is required to devote substantial time to compliance matters.</w:t>
      </w:r>
    </w:p>
    <w:p>
      <w:pPr>
        <w:spacing w:after="0" w:line="159"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As a publicly traded company we have incurred significant additional legal, accounting and other expenses that we did not incur as a privately held subsidiary of BioXcel. The obligations of being a public company in the United States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5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Legislation in various countries around the world with regard to cybersecurity, privacy and data protection is rapidly expanding and creating a complex compliance environment. We are subject to many privacy and data protection laws and regulations in the U.S. and around the world, some of which place restrictions on our ability to process personal data across our business. In particular, the General Data Protection Regulation, or GDPR, which became effective in May 2018, has caused more stringent data protection requirements in the European Union.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how their personal information is to be used; imposes limitations on retention of personal data; introduces mandatory data breach notification requirements; and sets higher standards for data controllers to demonstrate that they have obtained valid consent for certain data processing activities. To the extent we collect data from individuals in the European Union, we will be subject to the supervision of local data protection authorities in those E.U. jurisdictions where we are established or otherwise subject to the GDPR. Certain breaches of the GDPR requirements could result in substantial fines, which can be up to four percent of worldwide revenue or 20 million Euros, whichever is greater. In addition to the foregoing, a breach of the GDPR could result in regulatory investigations, reputational damage, orders to cease/change our use of data, enforcement notices, as well potential civil claims including class action type litigation where individuals suffered harm.</w:t>
      </w:r>
    </w:p>
    <w:p>
      <w:pPr>
        <w:spacing w:after="0" w:line="19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47"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5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47"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75"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If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8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quarter ended September 30, 2020, we experienced an email-based wire fraud that resulted in the misappropriation of certain funds. As a result of the foregoing, we identified a material weakness due to our internal controls having not been adequately designed to prevent or timely detect unauthorized cash disbursements. If we are unable to remediate any such material weakness, if we are unable to implement and maintain effective internal control over financial reporting and effective disclosure controls and procedures, or if we fail to satisfy other requirements as a public company, including the requirements of Section 404 of the Sarbanes-Oxley Act, we may be unable to accurately report our financial results or report them within the timeframes required by the SEC.</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bills could adversely affect our business and financial condition.</w:t>
      </w:r>
    </w:p>
    <w:p>
      <w:pPr>
        <w:spacing w:after="0" w:line="229" w:lineRule="exact"/>
        <w:rPr>
          <w:sz w:val="20"/>
          <w:szCs w:val="20"/>
          <w:color w:val="auto"/>
        </w:rPr>
      </w:pPr>
    </w:p>
    <w:p>
      <w:pPr>
        <w:jc w:val="both"/>
        <w:ind w:left="60" w:right="159" w:firstLine="324"/>
        <w:spacing w:after="0" w:line="277" w:lineRule="auto"/>
        <w:rPr>
          <w:sz w:val="20"/>
          <w:szCs w:val="20"/>
          <w:color w:val="auto"/>
        </w:rPr>
      </w:pPr>
      <w:r>
        <w:rPr>
          <w:rFonts w:ascii="Times New Roman" w:cs="Times New Roman" w:eastAsia="Times New Roman" w:hAnsi="Times New Roman"/>
          <w:sz w:val="17"/>
          <w:szCs w:val="17"/>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We urge our stockholders to consult with their legal and tax advisors with respect to any such legislation and the potential tax consequences of investing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November 10, 2020, the Company and Nektar terminated the Nektar Collaboration Agreement, pursuant to which the Company and Nektar had agreed to jointly collaborate to conduct a Phase 1/2 clinical trial evaluating a combination therapy using BXCL701, Bempegaldesleukin, a CD122-biased agonist and a checkpoint inhibitor as a potential therapy for pancreatic cancer and such other clinical trials evaluating the combined therapy as mutually agreed by the parties. The BXCL701 phase of the triple combination study of BXCL701, bempegaldesleukin (NKTR-214, Nektar Therapeutics) and BAVENCIO® (avelumab, Merck KGaA, Darmstadt, Germany and Pfizer) in second line pancreatic cancer was planned to initiate following Nektar and Pfizer’s Phase 1B dose-escalation trial of bempegaldesleukin and avelumab, which was delayed. As a result, the parties have agreed to discontinue activities on the triple combination study and instead reallocate resources to other studies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jc w:val="center"/>
              <w:ind w:left="793"/>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8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40" w:type="dxa"/>
            <w:vAlign w:val="bottom"/>
            <w:gridSpan w:val="1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Pr>
          <w:p>
            <w:pPr>
              <w:jc w:val="center"/>
              <w:ind w:left="793"/>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40" w:type="dxa"/>
            <w:vAlign w:val="bottom"/>
            <w:gridSpan w:val="1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  Herewith</w:t>
            </w:r>
          </w:p>
        </w:tc>
        <w:tc>
          <w:tcPr>
            <w:tcW w:w="0" w:type="dxa"/>
            <w:vAlign w:val="bottom"/>
          </w:tcPr>
          <w:p>
            <w:pPr>
              <w:spacing w:after="0"/>
              <w:rPr>
                <w:sz w:val="1"/>
                <w:szCs w:val="1"/>
                <w:color w:val="auto"/>
              </w:rPr>
            </w:pPr>
          </w:p>
        </w:tc>
      </w:tr>
      <w:tr>
        <w:trPr>
          <w:trHeight w:val="228"/>
        </w:trPr>
        <w:tc>
          <w:tcPr>
            <w:tcW w:w="7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620" w:type="dxa"/>
            <w:vAlign w:val="bottom"/>
            <w:tcBorders>
              <w:top w:val="single" w:sz="8" w:color="auto"/>
            </w:tcBorders>
            <w:gridSpan w:val="14"/>
          </w:tcPr>
          <w:p>
            <w:pPr>
              <w:spacing w:after="0"/>
              <w:rPr>
                <w:rFonts w:ascii="Times New Roman" w:cs="Times New Roman" w:eastAsia="Times New Roman" w:hAnsi="Times New Roman"/>
                <w:sz w:val="18"/>
                <w:szCs w:val="18"/>
                <w:u w:val="single" w:color="auto"/>
                <w:color w:val="0000EE"/>
              </w:rPr>
            </w:pPr>
            <w:hyperlink r:id="rId93">
              <w:r>
                <w:rPr>
                  <w:rFonts w:ascii="Times New Roman" w:cs="Times New Roman" w:eastAsia="Times New Roman" w:hAnsi="Times New Roman"/>
                  <w:sz w:val="18"/>
                  <w:szCs w:val="18"/>
                  <w:u w:val="single" w:color="auto"/>
                  <w:color w:val="0000EE"/>
                </w:rPr>
                <w:t>Amended and Restated Certificate of Incorporation.</w:t>
              </w:r>
            </w:hyperlink>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001-38410</w:t>
            </w: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3/13/2018</w:t>
            </w:r>
          </w:p>
        </w:tc>
        <w:tc>
          <w:tcPr>
            <w:tcW w:w="0" w:type="dxa"/>
            <w:vAlign w:val="bottom"/>
          </w:tcPr>
          <w:p>
            <w:pPr>
              <w:spacing w:after="0"/>
              <w:rPr>
                <w:sz w:val="1"/>
                <w:szCs w:val="1"/>
                <w:color w:val="auto"/>
              </w:rPr>
            </w:pPr>
          </w:p>
        </w:tc>
      </w:tr>
      <w:tr>
        <w:trPr>
          <w:trHeight w:val="414"/>
        </w:trPr>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4620" w:type="dxa"/>
            <w:vAlign w:val="bottom"/>
            <w:gridSpan w:val="14"/>
          </w:tcPr>
          <w:p>
            <w:pPr>
              <w:spacing w:after="0"/>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Amended and Restated Bylaws.</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001-38410</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3/13/2018</w:t>
            </w:r>
          </w:p>
        </w:tc>
        <w:tc>
          <w:tcPr>
            <w:tcW w:w="0" w:type="dxa"/>
            <w:vAlign w:val="bottom"/>
          </w:tcPr>
          <w:p>
            <w:pPr>
              <w:spacing w:after="0"/>
              <w:rPr>
                <w:sz w:val="1"/>
                <w:szCs w:val="1"/>
                <w:color w:val="auto"/>
              </w:rPr>
            </w:pPr>
          </w:p>
        </w:tc>
      </w:tr>
      <w:tr>
        <w:trPr>
          <w:trHeight w:val="392"/>
        </w:trPr>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620" w:type="dxa"/>
            <w:vAlign w:val="bottom"/>
            <w:gridSpan w:val="14"/>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First Amendment, dated August 19, 2020, to Lease Agreement,</w:t>
              </w:r>
            </w:hyperlink>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dated as of August 20, 2018, by and between Fusco Harbour</w:t>
              </w:r>
            </w:hyperlink>
          </w:p>
        </w:tc>
        <w:tc>
          <w:tcPr>
            <w:tcW w:w="200" w:type="dxa"/>
            <w:vAlign w:val="bottom"/>
            <w:tcBorders>
              <w:top w:val="single" w:sz="8" w:color="0000EE"/>
            </w:tcBorders>
            <w:gridSpan w:val="5"/>
          </w:tcPr>
          <w:p>
            <w:pPr>
              <w:spacing w:after="0"/>
              <w:rPr>
                <w:sz w:val="17"/>
                <w:szCs w:val="17"/>
                <w:color w:val="auto"/>
              </w:rPr>
            </w:pPr>
          </w:p>
        </w:tc>
        <w:tc>
          <w:tcPr>
            <w:tcW w:w="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vMerge w:val="restart"/>
          </w:tcPr>
          <w:p>
            <w:pPr>
              <w:jc w:val="center"/>
              <w:ind w:left="793"/>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520" w:type="dxa"/>
            <w:vAlign w:val="bottom"/>
            <w:gridSpan w:val="11"/>
            <w:vMerge w:val="restart"/>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Associates, LLC, as Landlord, and BioXcel Therapeutics, Inc.,</w:t>
              </w:r>
            </w:hyperlink>
          </w:p>
        </w:tc>
        <w:tc>
          <w:tcPr>
            <w:tcW w:w="100" w:type="dxa"/>
            <w:vAlign w:val="bottom"/>
            <w:gridSpan w:val="3"/>
            <w:vMerge w:val="restart"/>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520" w:type="dxa"/>
            <w:vAlign w:val="bottom"/>
            <w:tcBorders>
              <w:bottom w:val="single" w:sz="8" w:color="0000EE"/>
            </w:tcBorders>
            <w:gridSpan w:val="11"/>
            <w:vMerge w:val="continue"/>
          </w:tcPr>
          <w:p>
            <w:pPr>
              <w:spacing w:after="0"/>
              <w:rPr>
                <w:sz w:val="5"/>
                <w:szCs w:val="5"/>
                <w:color w:val="auto"/>
              </w:rPr>
            </w:pPr>
          </w:p>
        </w:tc>
        <w:tc>
          <w:tcPr>
            <w:tcW w:w="10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79">
              <w:r>
                <w:rPr>
                  <w:rFonts w:ascii="Times New Roman" w:cs="Times New Roman" w:eastAsia="Times New Roman" w:hAnsi="Times New Roman"/>
                  <w:sz w:val="18"/>
                  <w:szCs w:val="18"/>
                  <w:color w:val="0000EE"/>
                  <w:w w:val="94"/>
                </w:rPr>
                <w:t>as Tenant.</w:t>
              </w:r>
            </w:hyperlink>
          </w:p>
        </w:tc>
        <w:tc>
          <w:tcPr>
            <w:tcW w:w="3900" w:type="dxa"/>
            <w:vAlign w:val="bottom"/>
            <w:gridSpan w:val="13"/>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Certification of Principal Executive Officer Pursuant to Rules</w:t>
              </w:r>
            </w:hyperlink>
          </w:p>
        </w:tc>
        <w:tc>
          <w:tcPr>
            <w:tcW w:w="18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13a-14(a) and 15d-14(a) under the Securities Exchange Act of</w:t>
              </w:r>
            </w:hyperlink>
          </w:p>
        </w:tc>
        <w:tc>
          <w:tcPr>
            <w:tcW w:w="14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vMerge w:val="restart"/>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40" w:type="dxa"/>
            <w:vAlign w:val="bottom"/>
            <w:gridSpan w:val="6"/>
            <w:vMerge w:val="restart"/>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1934, as Adopted Pursuant to Section 302 of the Sarbanes-</w:t>
              </w:r>
            </w:hyperlink>
          </w:p>
        </w:tc>
        <w:tc>
          <w:tcPr>
            <w:tcW w:w="380" w:type="dxa"/>
            <w:vAlign w:val="bottom"/>
            <w:gridSpan w:val="8"/>
            <w:vMerge w:val="restart"/>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40" w:type="dxa"/>
            <w:vAlign w:val="bottom"/>
            <w:tcBorders>
              <w:bottom w:val="single" w:sz="8" w:color="0000EE"/>
            </w:tcBorders>
            <w:gridSpan w:val="6"/>
            <w:vMerge w:val="continue"/>
          </w:tcPr>
          <w:p>
            <w:pPr>
              <w:spacing w:after="0"/>
              <w:rPr>
                <w:sz w:val="5"/>
                <w:szCs w:val="5"/>
                <w:color w:val="auto"/>
              </w:rPr>
            </w:pPr>
          </w:p>
        </w:tc>
        <w:tc>
          <w:tcPr>
            <w:tcW w:w="38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gridSpan w:val="14"/>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Oxley Act of 2002.</w:t>
              </w:r>
            </w:hyperlink>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4620" w:type="dxa"/>
            <w:vAlign w:val="bottom"/>
            <w:gridSpan w:val="14"/>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Certification of Principal Financial Officer Pursuant to Rules</w:t>
              </w:r>
            </w:hyperlink>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13a-14(a) and 15d-14(a) under the Securities Exchange Act of</w:t>
              </w:r>
            </w:hyperlink>
          </w:p>
        </w:tc>
        <w:tc>
          <w:tcPr>
            <w:tcW w:w="14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vMerge w:val="restart"/>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40" w:type="dxa"/>
            <w:vAlign w:val="bottom"/>
            <w:gridSpan w:val="6"/>
            <w:vMerge w:val="restart"/>
          </w:tcPr>
          <w:p>
            <w:pPr>
              <w:spacing w:after="0" w:line="196" w:lineRule="exact"/>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1934, as Adopted Pursuant to Section 302 of the Sarbanes-</w:t>
              </w:r>
            </w:hyperlink>
          </w:p>
        </w:tc>
        <w:tc>
          <w:tcPr>
            <w:tcW w:w="380" w:type="dxa"/>
            <w:vAlign w:val="bottom"/>
            <w:gridSpan w:val="8"/>
            <w:vMerge w:val="restart"/>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40" w:type="dxa"/>
            <w:vAlign w:val="bottom"/>
            <w:tcBorders>
              <w:bottom w:val="single" w:sz="8" w:color="0000EE"/>
            </w:tcBorders>
            <w:gridSpan w:val="6"/>
            <w:vMerge w:val="continue"/>
          </w:tcPr>
          <w:p>
            <w:pPr>
              <w:spacing w:after="0"/>
              <w:rPr>
                <w:sz w:val="5"/>
                <w:szCs w:val="5"/>
                <w:color w:val="auto"/>
              </w:rPr>
            </w:pPr>
          </w:p>
        </w:tc>
        <w:tc>
          <w:tcPr>
            <w:tcW w:w="38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gridSpan w:val="14"/>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Oxley Act of 2002.</w:t>
              </w:r>
            </w:hyperlink>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4620" w:type="dxa"/>
            <w:vAlign w:val="bottom"/>
            <w:gridSpan w:val="14"/>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Certification of Principal Executive Officer Pursuant to 18</w:t>
              </w:r>
            </w:hyperlink>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vMerge w:val="restart"/>
          </w:tcPr>
          <w:p>
            <w:pPr>
              <w:jc w:val="center"/>
              <w:ind w:left="81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U.S.C. Section 1350, as Adopted Pursuant to Section 906 of the</w:t>
              </w:r>
            </w:hyperlink>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Sarbanes-Oxley Act of 2002.</w:t>
              </w:r>
            </w:hyperlink>
          </w:p>
        </w:tc>
        <w:tc>
          <w:tcPr>
            <w:tcW w:w="250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42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Certification of Principal Financial Officer Pursuant to 18</w:t>
              </w:r>
            </w:hyperlink>
          </w:p>
        </w:tc>
        <w:tc>
          <w:tcPr>
            <w:tcW w:w="42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vMerge w:val="restart"/>
          </w:tcPr>
          <w:p>
            <w:pPr>
              <w:jc w:val="center"/>
              <w:ind w:left="81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U.S.C. Section 1350, as Adopted Pursuant to Section 906 of the</w:t>
              </w:r>
            </w:hyperlink>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Sarbanes-Oxley Act of 2002.</w:t>
              </w:r>
            </w:hyperlink>
          </w:p>
        </w:tc>
        <w:tc>
          <w:tcPr>
            <w:tcW w:w="2520" w:type="dxa"/>
            <w:vAlign w:val="bottom"/>
            <w:gridSpan w:val="11"/>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4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4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4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4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4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46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8" w:lineRule="exact"/>
        <w:rPr>
          <w:sz w:val="20"/>
          <w:szCs w:val="20"/>
          <w:color w:val="auto"/>
        </w:rPr>
      </w:pPr>
    </w:p>
    <w:p>
      <w:pPr>
        <w:ind w:left="380" w:hanging="330"/>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BioXcel Therapeutics, Inc.</w:t>
            </w:r>
          </w:p>
        </w:tc>
      </w:tr>
      <w:tr>
        <w:trPr>
          <w:trHeight w:val="41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12, 2020</w:t>
            </w:r>
          </w:p>
        </w:tc>
        <w:tc>
          <w:tcPr>
            <w:tcW w:w="13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Vimal Mehta</w:t>
            </w:r>
          </w:p>
        </w:tc>
      </w:tr>
      <w:tr>
        <w:trPr>
          <w:trHeight w:val="191"/>
        </w:trPr>
        <w:tc>
          <w:tcPr>
            <w:tcW w:w="3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Vimal Mehta</w:t>
            </w:r>
          </w:p>
        </w:tc>
      </w:tr>
      <w:tr>
        <w:trPr>
          <w:trHeight w:val="214"/>
        </w:trPr>
        <w:tc>
          <w:tcPr>
            <w:tcW w:w="3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12, 2020</w:t>
            </w:r>
          </w:p>
        </w:tc>
        <w:tc>
          <w:tcPr>
            <w:tcW w:w="130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3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Steinhart</w:t>
            </w:r>
          </w:p>
        </w:tc>
      </w:tr>
      <w:tr>
        <w:trPr>
          <w:trHeight w:val="189"/>
        </w:trPr>
        <w:tc>
          <w:tcPr>
            <w:tcW w:w="3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Richard Steinhart, Chief Financial Officer</w:t>
            </w:r>
          </w:p>
        </w:tc>
      </w:tr>
      <w:tr>
        <w:trPr>
          <w:trHeight w:val="236"/>
        </w:trPr>
        <w:tc>
          <w:tcPr>
            <w:tcW w:w="3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864"/>
        </w:trPr>
        <w:tc>
          <w:tcPr>
            <w:tcW w:w="3180" w:type="dxa"/>
            <w:vAlign w:val="bottom"/>
          </w:tcPr>
          <w:p>
            <w:pPr>
              <w:spacing w:after="0"/>
              <w:rPr>
                <w:sz w:val="24"/>
                <w:szCs w:val="24"/>
                <w:color w:val="auto"/>
              </w:rPr>
            </w:pPr>
          </w:p>
        </w:tc>
        <w:tc>
          <w:tcPr>
            <w:tcW w:w="5740" w:type="dxa"/>
            <w:vAlign w:val="bottom"/>
            <w:gridSpan w:val="2"/>
          </w:tcPr>
          <w:p>
            <w:pPr>
              <w:jc w:val="right"/>
              <w:ind w:right="4270"/>
              <w:spacing w:after="0"/>
              <w:rPr>
                <w:sz w:val="20"/>
                <w:szCs w:val="20"/>
                <w:color w:val="auto"/>
              </w:rPr>
            </w:pPr>
            <w:r>
              <w:rPr>
                <w:rFonts w:ascii="Times New Roman" w:cs="Times New Roman" w:eastAsia="Times New Roman" w:hAnsi="Times New Roman"/>
                <w:sz w:val="18"/>
                <w:szCs w:val="18"/>
                <w:color w:val="auto"/>
              </w:rPr>
              <w:t>78</w:t>
            </w:r>
          </w:p>
        </w:tc>
      </w:tr>
      <w:tr>
        <w:trPr>
          <w:trHeight w:val="547"/>
        </w:trPr>
        <w:tc>
          <w:tcPr>
            <w:tcW w:w="3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8" w:name="page79"/>
    <w:bookmarkEnd w:id="78"/>
    <w:p>
      <w:pPr>
        <w:ind w:left="88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LEASE AGREEMENT</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THIS FIRST AMENDMENT TO LEASE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19</w:t>
      </w:r>
      <w:r>
        <w:rPr>
          <w:rFonts w:ascii="Times New Roman" w:cs="Times New Roman" w:eastAsia="Times New Roman" w:hAnsi="Times New Roman"/>
          <w:sz w:val="16"/>
          <w:szCs w:val="16"/>
          <w:u w:val="single" w:color="auto"/>
          <w:color w:val="auto"/>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day of August, 2020 by and between </w:t>
      </w:r>
      <w:r>
        <w:rPr>
          <w:rFonts w:ascii="Times New Roman" w:cs="Times New Roman" w:eastAsia="Times New Roman" w:hAnsi="Times New Roman"/>
          <w:sz w:val="22"/>
          <w:szCs w:val="22"/>
          <w:b w:val="1"/>
          <w:bCs w:val="1"/>
          <w:color w:val="auto"/>
        </w:rPr>
        <w:t>FUSCO HARBOUR ASSOCIATES, LLC,</w:t>
      </w:r>
      <w:r>
        <w:rPr>
          <w:rFonts w:ascii="Times New Roman" w:cs="Times New Roman" w:eastAsia="Times New Roman" w:hAnsi="Times New Roman"/>
          <w:sz w:val="22"/>
          <w:szCs w:val="22"/>
          <w:color w:val="auto"/>
        </w:rPr>
        <w:t xml:space="preserve"> a Connecticut limited liability company (hereinafter called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BIOXCEL THERAPEUTICS, INC.,</w:t>
      </w:r>
      <w:r>
        <w:rPr>
          <w:rFonts w:ascii="Times New Roman" w:cs="Times New Roman" w:eastAsia="Times New Roman" w:hAnsi="Times New Roman"/>
          <w:sz w:val="22"/>
          <w:szCs w:val="22"/>
          <w:color w:val="auto"/>
        </w:rPr>
        <w:t xml:space="preserve"> a Delaware corporation (hereinafter called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WITNESS ETH:</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Landlord and Tenant are parties to that certain Lease Agreement having an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August 20, 2018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respecting certain premises currently containing 11,040 rentable square feet located on the twelfth (12</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floor at 555 Long Wharf Drive, New Haven, Connecticut. Capitalized terms which are used but are not defined herein shall have the same meanings as in the Lease;</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term of the Lease commenced on February 22, 2019 and currently expires on February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28, 2026; and</w:t>
      </w:r>
    </w:p>
    <w:p>
      <w:pPr>
        <w:spacing w:after="0" w:line="15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Tenant now desires to (i) lease an additional 7,245 rentable square feet of space contiguous to the current Premises (said additional space being sometimes referred to in this Amendment as the “</w:t>
      </w:r>
      <w:r>
        <w:rPr>
          <w:rFonts w:ascii="Times New Roman" w:cs="Times New Roman" w:eastAsia="Times New Roman" w:hAnsi="Times New Roman"/>
          <w:sz w:val="22"/>
          <w:szCs w:val="22"/>
          <w:u w:val="single" w:color="auto"/>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Space</w:t>
      </w:r>
      <w:r>
        <w:rPr>
          <w:rFonts w:ascii="Times New Roman" w:cs="Times New Roman" w:eastAsia="Times New Roman" w:hAnsi="Times New Roman"/>
          <w:sz w:val="22"/>
          <w:szCs w:val="22"/>
          <w:color w:val="auto"/>
        </w:rPr>
        <w:t>” and being shown and designated as the “</w:t>
      </w:r>
      <w:r>
        <w:rPr>
          <w:rFonts w:ascii="Times New Roman" w:cs="Times New Roman" w:eastAsia="Times New Roman" w:hAnsi="Times New Roman"/>
          <w:sz w:val="22"/>
          <w:szCs w:val="22"/>
          <w:u w:val="single" w:color="auto"/>
          <w:color w:val="auto"/>
        </w:rPr>
        <w:t>Additional Space</w:t>
      </w:r>
      <w:r>
        <w:rPr>
          <w:rFonts w:ascii="Times New Roman" w:cs="Times New Roman" w:eastAsia="Times New Roman" w:hAnsi="Times New Roman"/>
          <w:sz w:val="22"/>
          <w:szCs w:val="22"/>
          <w:color w:val="auto"/>
        </w:rPr>
        <w:t xml:space="preserve">”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and (ii) amend the Lease in connection with all of the foregoing.</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NOW, THEREFORE, IN VIEW OF THE FOREGOING, AND IN CONSIDERATION OF THE TERMS HEREOF, THE UNDERSIGNED DO HEREBY AGREE AS FOLLOWS:</w:t>
      </w:r>
    </w:p>
    <w:p>
      <w:pPr>
        <w:spacing w:after="0" w:line="158" w:lineRule="exact"/>
        <w:rPr>
          <w:sz w:val="20"/>
          <w:szCs w:val="20"/>
          <w:color w:val="auto"/>
        </w:rPr>
      </w:pPr>
    </w:p>
    <w:p>
      <w:pPr>
        <w:ind w:left="1340" w:hanging="654"/>
        <w:spacing w:after="0"/>
        <w:tabs>
          <w:tab w:leader="none" w:pos="13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Amendment, the following terms shall have meanings set forth below:</w:t>
      </w:r>
    </w:p>
    <w:p>
      <w:pPr>
        <w:spacing w:after="0" w:line="246" w:lineRule="exact"/>
        <w:rPr>
          <w:rFonts w:ascii="Times New Roman" w:cs="Times New Roman" w:eastAsia="Times New Roman" w:hAnsi="Times New Roman"/>
          <w:sz w:val="22"/>
          <w:szCs w:val="22"/>
          <w:color w:val="auto"/>
        </w:rPr>
      </w:pPr>
    </w:p>
    <w:p>
      <w:pPr>
        <w:jc w:val="both"/>
        <w:ind w:left="660" w:firstLine="662"/>
        <w:spacing w:after="0" w:line="244" w:lineRule="auto"/>
        <w:tabs>
          <w:tab w:leader="none" w:pos="222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Space Delivery Date</w:t>
      </w:r>
      <w:r>
        <w:rPr>
          <w:rFonts w:ascii="Times New Roman" w:cs="Times New Roman" w:eastAsia="Times New Roman" w:hAnsi="Times New Roman"/>
          <w:sz w:val="22"/>
          <w:szCs w:val="22"/>
          <w:color w:val="auto"/>
        </w:rPr>
        <w:t>” shall mean the date upon which Landlord delivers possession of the Additional Space to Tenant in vacant and broom clean condition, which is currently anticipated to take place promptly following the date of this Amendment; and</w:t>
      </w:r>
    </w:p>
    <w:p>
      <w:pPr>
        <w:spacing w:after="0" w:line="213" w:lineRule="exact"/>
        <w:rPr>
          <w:rFonts w:ascii="Times New Roman" w:cs="Times New Roman" w:eastAsia="Times New Roman" w:hAnsi="Times New Roman"/>
          <w:sz w:val="22"/>
          <w:szCs w:val="22"/>
          <w:color w:val="auto"/>
        </w:rPr>
      </w:pPr>
    </w:p>
    <w:p>
      <w:pPr>
        <w:jc w:val="both"/>
        <w:ind w:left="660" w:firstLine="662"/>
        <w:spacing w:after="0" w:line="238" w:lineRule="auto"/>
        <w:tabs>
          <w:tab w:leader="none" w:pos="195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Space Rent Commencement Date</w:t>
      </w:r>
      <w:r>
        <w:rPr>
          <w:rFonts w:ascii="Times New Roman" w:cs="Times New Roman" w:eastAsia="Times New Roman" w:hAnsi="Times New Roman"/>
          <w:sz w:val="22"/>
          <w:szCs w:val="22"/>
          <w:color w:val="auto"/>
        </w:rPr>
        <w:t>” shall mean the date which is sixty (60) days after the earliest of (x) occupancy by Tenant of any portion of the Additional Space for conduct of its business, or (y) the date that Tenant’s Additional Space Work (as hereinafter defined) is substantially completed. For purposes hereof, the sixty (60) day period described above is referred to herein as the “</w:t>
      </w:r>
      <w:r>
        <w:rPr>
          <w:rFonts w:ascii="Times New Roman" w:cs="Times New Roman" w:eastAsia="Times New Roman" w:hAnsi="Times New Roman"/>
          <w:sz w:val="22"/>
          <w:szCs w:val="22"/>
          <w:u w:val="single" w:color="auto"/>
          <w:color w:val="auto"/>
        </w:rPr>
        <w:t>Abatement Period</w:t>
      </w:r>
      <w:r>
        <w:rPr>
          <w:rFonts w:ascii="Times New Roman" w:cs="Times New Roman" w:eastAsia="Times New Roman" w:hAnsi="Times New Roman"/>
          <w:sz w:val="22"/>
          <w:szCs w:val="22"/>
          <w:color w:val="auto"/>
        </w:rPr>
        <w:t>” and shall be subject to reduction as set forth below.</w:t>
      </w:r>
    </w:p>
    <w:p>
      <w:pPr>
        <w:spacing w:after="0" w:line="15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Landlord shall confirm the Additional Space Delivery Date and the Additional Space Rent Commencement Date and shall provide Tenant with written notice of said dates. When said dates have been so determined, at Landlord’s or Tenant’s request, the parties hereto shall within fifteen (15) days after such request, execute a written agreement confirming said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21"/>
          <w:szCs w:val="21"/>
          <w:color w:val="auto"/>
        </w:rPr>
        <w:t>Any failure of the parties to execute such written agreement shall not affect the validity of said dates as aforesaid.</w:t>
      </w:r>
    </w:p>
    <w:p>
      <w:pPr>
        <w:spacing w:after="0" w:line="299" w:lineRule="exact"/>
        <w:rPr>
          <w:sz w:val="20"/>
          <w:szCs w:val="20"/>
          <w:color w:val="auto"/>
        </w:rPr>
      </w:pPr>
    </w:p>
    <w:p>
      <w:pPr>
        <w:jc w:val="both"/>
        <w:ind w:firstLine="656"/>
        <w:spacing w:after="0" w:line="235" w:lineRule="auto"/>
        <w:tabs>
          <w:tab w:leader="none" w:pos="142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agrees to deliver possession of the Additional Space to Tenant in “as is” condition, no warranties or representations being made by Landlord herein as to the condition of the Additional Space or any specific use which may be made thereof. Tenant acknowledges and agrees that Tenant shall be solely responsible, at Tenant’s sole expense, for performing any and all improvements to the Premises in order to prepare same for occupancy by Tenant (“</w:t>
      </w:r>
      <w:r>
        <w:rPr>
          <w:rFonts w:ascii="Times New Roman" w:cs="Times New Roman" w:eastAsia="Times New Roman" w:hAnsi="Times New Roman"/>
          <w:sz w:val="22"/>
          <w:szCs w:val="22"/>
          <w:u w:val="single" w:color="auto"/>
          <w:color w:val="auto"/>
        </w:rPr>
        <w:t>Tenant’s Additional Space Work</w:t>
      </w:r>
      <w:r>
        <w:rPr>
          <w:rFonts w:ascii="Times New Roman" w:cs="Times New Roman" w:eastAsia="Times New Roman" w:hAnsi="Times New Roman"/>
          <w:sz w:val="22"/>
          <w:szCs w:val="22"/>
          <w:color w:val="auto"/>
        </w:rPr>
        <w:t xml:space="preserve">”) in accordance with and subject to the terms hereof and of the Lease, including, without limitation, the terms of </w:t>
      </w:r>
      <w:r>
        <w:rPr>
          <w:rFonts w:ascii="Times New Roman" w:cs="Times New Roman" w:eastAsia="Times New Roman" w:hAnsi="Times New Roman"/>
          <w:sz w:val="22"/>
          <w:szCs w:val="22"/>
          <w:b w:val="1"/>
          <w:bCs w:val="1"/>
          <w:u w:val="single" w:color="auto"/>
          <w:color w:val="auto"/>
        </w:rPr>
        <w:t>Schedule C-1</w:t>
      </w:r>
      <w:r>
        <w:rPr>
          <w:rFonts w:ascii="Times New Roman" w:cs="Times New Roman" w:eastAsia="Times New Roman" w:hAnsi="Times New Roman"/>
          <w:sz w:val="22"/>
          <w:szCs w:val="22"/>
          <w:color w:val="auto"/>
        </w:rPr>
        <w:t xml:space="preserve"> attached to the Lease. By way of illustration only, the 5% construction oversight fee shall apply to Tenant’s Additional Space Work. In connection with Tenant’s Additional Space Work, the following shall apply:</w:t>
      </w:r>
    </w:p>
    <w:p>
      <w:pPr>
        <w:spacing w:after="0" w:line="178" w:lineRule="exact"/>
        <w:rPr>
          <w:sz w:val="20"/>
          <w:szCs w:val="20"/>
          <w:color w:val="auto"/>
        </w:rPr>
      </w:pPr>
    </w:p>
    <w:p>
      <w:pPr>
        <w:jc w:val="both"/>
        <w:ind w:firstLine="656"/>
        <w:spacing w:after="0" w:line="238" w:lineRule="auto"/>
        <w:tabs>
          <w:tab w:leader="none" w:pos="135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following the date of this Amendment, Tenant shall furnish to Landlord a complete set of detailed plans and specifications, both architectural and MEP, including, without limitation, construction drawings, engineer drawings and all finish selections (“</w:t>
      </w:r>
      <w:r>
        <w:rPr>
          <w:rFonts w:ascii="Times New Roman" w:cs="Times New Roman" w:eastAsia="Times New Roman" w:hAnsi="Times New Roman"/>
          <w:sz w:val="22"/>
          <w:szCs w:val="22"/>
          <w:u w:val="single" w:color="auto"/>
          <w:color w:val="auto"/>
        </w:rPr>
        <w:t>Tenant’s Plans</w:t>
      </w:r>
      <w:r>
        <w:rPr>
          <w:rFonts w:ascii="Times New Roman" w:cs="Times New Roman" w:eastAsia="Times New Roman" w:hAnsi="Times New Roman"/>
          <w:sz w:val="22"/>
          <w:szCs w:val="22"/>
          <w:color w:val="auto"/>
        </w:rPr>
        <w:t>”) for all that certain work and improvements in and to the interior of the Premises which Tenant desires to perform or cause to be performed as part of Tenant’s Additional Space Work;</w:t>
      </w:r>
    </w:p>
    <w:p>
      <w:pPr>
        <w:spacing w:after="0" w:line="176" w:lineRule="exact"/>
        <w:rPr>
          <w:rFonts w:ascii="Times New Roman" w:cs="Times New Roman" w:eastAsia="Times New Roman" w:hAnsi="Times New Roman"/>
          <w:sz w:val="22"/>
          <w:szCs w:val="22"/>
          <w:color w:val="auto"/>
        </w:rPr>
      </w:pPr>
    </w:p>
    <w:p>
      <w:pPr>
        <w:jc w:val="both"/>
        <w:ind w:firstLine="656"/>
        <w:spacing w:after="0" w:line="244" w:lineRule="auto"/>
        <w:tabs>
          <w:tab w:leader="none" w:pos="151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days after written request by Landlord, Tenant shall, approve the guaranteed maximum price for Tenant’s Additional Space Work and award and sign the contract with the selected contractor(s); and</w:t>
      </w:r>
    </w:p>
    <w:p>
      <w:pPr>
        <w:spacing w:after="0" w:line="173" w:lineRule="exact"/>
        <w:rPr>
          <w:rFonts w:ascii="Times New Roman" w:cs="Times New Roman" w:eastAsia="Times New Roman" w:hAnsi="Times New Roman"/>
          <w:sz w:val="22"/>
          <w:szCs w:val="22"/>
          <w:color w:val="auto"/>
        </w:rPr>
      </w:pPr>
    </w:p>
    <w:p>
      <w:pPr>
        <w:jc w:val="both"/>
        <w:ind w:firstLine="656"/>
        <w:spacing w:after="0" w:line="244" w:lineRule="auto"/>
        <w:tabs>
          <w:tab w:leader="none" w:pos="131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three (3) days after written notice from Landlord, Tenant shall, respond to any questions or requests for information or respond to requests from Landlord for approval or authorization with respect to Tenant’s Plans or any other aspect of Tenant’s Work.</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Time is of the essence with respect to the time periods set forth herein. Requests or other notices hereunder from Landlord to Tenant may be send via email to the following: Kim Sheehan [KSheehan@bioxceltherapeutics.com].</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For purposes hereof, the following shall represent “</w:t>
      </w:r>
      <w:r>
        <w:rPr>
          <w:rFonts w:ascii="Times New Roman" w:cs="Times New Roman" w:eastAsia="Times New Roman" w:hAnsi="Times New Roman"/>
          <w:sz w:val="21"/>
          <w:szCs w:val="21"/>
          <w:u w:val="single" w:color="auto"/>
          <w:color w:val="auto"/>
        </w:rPr>
        <w:t>Tenant Delays</w:t>
      </w:r>
      <w:r>
        <w:rPr>
          <w:rFonts w:ascii="Times New Roman" w:cs="Times New Roman" w:eastAsia="Times New Roman" w:hAnsi="Times New Roman"/>
          <w:sz w:val="21"/>
          <w:szCs w:val="21"/>
          <w:color w:val="auto"/>
        </w:rPr>
        <w:t>”: (i) after Landlord has advised Tenant that such request shall result in a delay in Tenant’s Work or any delay in substantial completion of Tenant’s Work caused by Tenant’s request for changes in Tenant’s Plans; (ii) each day (or portion thereof) that Tenant fails to meet any of the time deadlines or other requirements detailed in this Section; and/or (iii) any delay in substantial completion of Tenant’s Work caused by reason of other acts or omissions of Tenant, its agents and/or contractors. In the event of any Tenant Delays, the Abatement Period shall be reduced by one (1) day for each day of each such Tenant Delay; provided, however, that if the Additional Space Rent Commencement Date takes place within one hundred twenty (120) days after the Additional Space Delivery Date, then there shall be no such reduction of the Abatement Period. The foregoing shall be in addition to any other rights or remedies of Landlord, available under the terms of this Lease, at law or in equity, on account of any Tenant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0" w:name="page81"/>
    <w:bookmarkEnd w:id="80"/>
    <w:p>
      <w:pPr>
        <w:jc w:val="both"/>
        <w:ind w:firstLine="656"/>
        <w:spacing w:after="0" w:line="244" w:lineRule="auto"/>
        <w:tabs>
          <w:tab w:leader="none" w:pos="89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hereby amended as follows, effective on and after the Additional Space Delivery Date (except for subsections (c) and (d) below, which shall be effective on and after the Additional Space Rent Commencement Date):</w:t>
      </w:r>
    </w:p>
    <w:p>
      <w:pPr>
        <w:spacing w:after="0" w:line="174" w:lineRule="exact"/>
        <w:rPr>
          <w:sz w:val="20"/>
          <w:szCs w:val="20"/>
          <w:color w:val="auto"/>
        </w:rPr>
      </w:pPr>
    </w:p>
    <w:p>
      <w:pPr>
        <w:ind w:firstLine="656"/>
        <w:spacing w:after="0" w:line="258" w:lineRule="auto"/>
        <w:tabs>
          <w:tab w:leader="none" w:pos="138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rentable square feet contained in the Premises is increased to a total of Eighteen Thousand Two Hundred Eighty-Five (18,285) rentable square feet;</w:t>
      </w:r>
    </w:p>
    <w:p>
      <w:pPr>
        <w:spacing w:after="0" w:line="154" w:lineRule="exact"/>
        <w:rPr>
          <w:rFonts w:ascii="Times New Roman" w:cs="Times New Roman" w:eastAsia="Times New Roman" w:hAnsi="Times New Roman"/>
          <w:sz w:val="22"/>
          <w:szCs w:val="22"/>
          <w:color w:val="auto"/>
        </w:rPr>
      </w:pPr>
    </w:p>
    <w:p>
      <w:pPr>
        <w:ind w:firstLine="656"/>
        <w:spacing w:after="0" w:line="262" w:lineRule="auto"/>
        <w:tabs>
          <w:tab w:leader="none" w:pos="141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Lease is amended to include the Additional Space as part of the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Lease;</w:t>
      </w:r>
    </w:p>
    <w:p>
      <w:pPr>
        <w:spacing w:after="0" w:line="153"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Rent” payable by the Tenant under Paragraph 4.A. of the Lease shall be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2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940" w:type="dxa"/>
            <w:vAlign w:val="bottom"/>
          </w:tcPr>
          <w:p>
            <w:pPr>
              <w:spacing w:after="0"/>
              <w:rPr>
                <w:sz w:val="22"/>
                <w:szCs w:val="22"/>
                <w:color w:val="auto"/>
              </w:rPr>
            </w:pPr>
          </w:p>
        </w:tc>
        <w:tc>
          <w:tcPr>
            <w:tcW w:w="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b w:val="1"/>
                <w:bCs w:val="1"/>
                <w:color w:val="auto"/>
                <w:w w:val="97"/>
              </w:rPr>
              <w:t>Base Rent</w:t>
            </w:r>
          </w:p>
        </w:tc>
        <w:tc>
          <w:tcPr>
            <w:tcW w:w="1120" w:type="dxa"/>
            <w:vAlign w:val="bottom"/>
          </w:tcPr>
          <w:p>
            <w:pPr>
              <w:spacing w:after="0"/>
              <w:rPr>
                <w:sz w:val="22"/>
                <w:szCs w:val="22"/>
                <w:color w:val="auto"/>
              </w:rPr>
            </w:pPr>
          </w:p>
        </w:tc>
        <w:tc>
          <w:tcPr>
            <w:tcW w:w="1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Annual Base Rent</w:t>
            </w:r>
          </w:p>
        </w:tc>
        <w:tc>
          <w:tcPr>
            <w:tcW w:w="920" w:type="dxa"/>
            <w:vAlign w:val="bottom"/>
          </w:tcPr>
          <w:p>
            <w:pPr>
              <w:spacing w:after="0"/>
              <w:rPr>
                <w:sz w:val="22"/>
                <w:szCs w:val="22"/>
                <w:color w:val="auto"/>
              </w:rPr>
            </w:pPr>
          </w:p>
        </w:tc>
        <w:tc>
          <w:tcPr>
            <w:tcW w:w="1920" w:type="dxa"/>
            <w:vAlign w:val="bottom"/>
            <w:gridSpan w:val="3"/>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Monthly Payment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9"/>
              </w:rPr>
              <w:t>Per RSF</w:t>
            </w:r>
          </w:p>
        </w:tc>
        <w:tc>
          <w:tcPr>
            <w:tcW w:w="112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19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2220" w:type="dxa"/>
            <w:vAlign w:val="bottom"/>
            <w:gridSpan w:val="3"/>
            <w:shd w:val="clear" w:color="auto" w:fill="CCEEFF"/>
          </w:tcPr>
          <w:p>
            <w:pPr>
              <w:jc w:val="center"/>
              <w:ind w:right="420"/>
              <w:spacing w:after="0" w:line="243" w:lineRule="exact"/>
              <w:rPr>
                <w:sz w:val="20"/>
                <w:szCs w:val="20"/>
                <w:color w:val="auto"/>
              </w:rPr>
            </w:pPr>
            <w:r>
              <w:rPr>
                <w:rFonts w:ascii="Times New Roman" w:cs="Times New Roman" w:eastAsia="Times New Roman" w:hAnsi="Times New Roman"/>
                <w:sz w:val="22"/>
                <w:szCs w:val="22"/>
                <w:color w:val="auto"/>
                <w:w w:val="98"/>
              </w:rPr>
              <w:t xml:space="preserve">ASRCD* - 2/28/21 </w:t>
            </w:r>
            <w:r>
              <w:rPr>
                <w:rFonts w:ascii="Times New Roman" w:cs="Times New Roman" w:eastAsia="Times New Roman" w:hAnsi="Times New Roman"/>
                <w:sz w:val="16"/>
                <w:szCs w:val="16"/>
                <w:color w:val="auto"/>
                <w:w w:val="98"/>
              </w:rPr>
              <w:t>1</w:t>
            </w:r>
          </w:p>
        </w:tc>
        <w:tc>
          <w:tcPr>
            <w:tcW w:w="940" w:type="dxa"/>
            <w:vAlign w:val="bottom"/>
            <w:shd w:val="clear" w:color="auto" w:fill="CCEEFF"/>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18.96</w:t>
            </w:r>
          </w:p>
        </w:tc>
        <w:tc>
          <w:tcPr>
            <w:tcW w:w="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4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346,683.60</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28,890.30</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gridSpan w:val="3"/>
          </w:tcPr>
          <w:p>
            <w:pPr>
              <w:jc w:val="center"/>
              <w:ind w:right="480"/>
              <w:spacing w:after="0" w:line="243" w:lineRule="exact"/>
              <w:rPr>
                <w:sz w:val="20"/>
                <w:szCs w:val="20"/>
                <w:color w:val="auto"/>
              </w:rPr>
            </w:pPr>
            <w:r>
              <w:rPr>
                <w:rFonts w:ascii="Times New Roman" w:cs="Times New Roman" w:eastAsia="Times New Roman" w:hAnsi="Times New Roman"/>
                <w:sz w:val="22"/>
                <w:szCs w:val="22"/>
                <w:color w:val="auto"/>
                <w:w w:val="97"/>
              </w:rPr>
              <w:t>3/1/21 - 2/28/22</w:t>
            </w:r>
          </w:p>
        </w:tc>
        <w:tc>
          <w:tcPr>
            <w:tcW w:w="9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19.44</w:t>
            </w:r>
          </w:p>
        </w:tc>
        <w:tc>
          <w:tcPr>
            <w:tcW w:w="40" w:type="dxa"/>
            <w:vAlign w:val="bottom"/>
          </w:tcPr>
          <w:p>
            <w:pPr>
              <w:spacing w:after="0"/>
              <w:rPr>
                <w:sz w:val="21"/>
                <w:szCs w:val="21"/>
                <w:color w:val="auto"/>
              </w:rPr>
            </w:pPr>
          </w:p>
        </w:tc>
        <w:tc>
          <w:tcPr>
            <w:tcW w:w="11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4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355,460.40</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29,621.70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gridSpan w:val="3"/>
            <w:shd w:val="clear" w:color="auto" w:fill="CCEEFF"/>
          </w:tcPr>
          <w:p>
            <w:pPr>
              <w:jc w:val="center"/>
              <w:ind w:right="440"/>
              <w:spacing w:after="0" w:line="243" w:lineRule="exact"/>
              <w:rPr>
                <w:sz w:val="20"/>
                <w:szCs w:val="20"/>
                <w:color w:val="auto"/>
              </w:rPr>
            </w:pPr>
            <w:r>
              <w:rPr>
                <w:rFonts w:ascii="Times New Roman" w:cs="Times New Roman" w:eastAsia="Times New Roman" w:hAnsi="Times New Roman"/>
                <w:sz w:val="22"/>
                <w:szCs w:val="22"/>
                <w:color w:val="auto"/>
                <w:w w:val="97"/>
              </w:rPr>
              <w:t>3/1/22 - 2/28/23</w:t>
            </w:r>
          </w:p>
        </w:tc>
        <w:tc>
          <w:tcPr>
            <w:tcW w:w="940" w:type="dxa"/>
            <w:vAlign w:val="bottom"/>
            <w:shd w:val="clear" w:color="auto" w:fill="CCEEFF"/>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19.92</w:t>
            </w:r>
          </w:p>
        </w:tc>
        <w:tc>
          <w:tcPr>
            <w:tcW w:w="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4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364,237.20</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30,353.10</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gridSpan w:val="3"/>
          </w:tcPr>
          <w:p>
            <w:pPr>
              <w:jc w:val="center"/>
              <w:ind w:right="480"/>
              <w:spacing w:after="0" w:line="243" w:lineRule="exact"/>
              <w:rPr>
                <w:sz w:val="20"/>
                <w:szCs w:val="20"/>
                <w:color w:val="auto"/>
              </w:rPr>
            </w:pPr>
            <w:r>
              <w:rPr>
                <w:rFonts w:ascii="Times New Roman" w:cs="Times New Roman" w:eastAsia="Times New Roman" w:hAnsi="Times New Roman"/>
                <w:sz w:val="22"/>
                <w:szCs w:val="22"/>
                <w:color w:val="auto"/>
                <w:w w:val="97"/>
              </w:rPr>
              <w:t>3/1/23 - 2/28/24</w:t>
            </w:r>
          </w:p>
        </w:tc>
        <w:tc>
          <w:tcPr>
            <w:tcW w:w="9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20.42</w:t>
            </w:r>
          </w:p>
        </w:tc>
        <w:tc>
          <w:tcPr>
            <w:tcW w:w="40" w:type="dxa"/>
            <w:vAlign w:val="bottom"/>
          </w:tcPr>
          <w:p>
            <w:pPr>
              <w:spacing w:after="0"/>
              <w:rPr>
                <w:sz w:val="21"/>
                <w:szCs w:val="21"/>
                <w:color w:val="auto"/>
              </w:rPr>
            </w:pPr>
          </w:p>
        </w:tc>
        <w:tc>
          <w:tcPr>
            <w:tcW w:w="11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4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373,379.70</w:t>
            </w: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31,114.98</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gridSpan w:val="3"/>
            <w:shd w:val="clear" w:color="auto" w:fill="CCEEFF"/>
          </w:tcPr>
          <w:p>
            <w:pPr>
              <w:jc w:val="center"/>
              <w:ind w:right="480"/>
              <w:spacing w:after="0" w:line="243" w:lineRule="exact"/>
              <w:rPr>
                <w:sz w:val="20"/>
                <w:szCs w:val="20"/>
                <w:color w:val="auto"/>
              </w:rPr>
            </w:pPr>
            <w:r>
              <w:rPr>
                <w:rFonts w:ascii="Times New Roman" w:cs="Times New Roman" w:eastAsia="Times New Roman" w:hAnsi="Times New Roman"/>
                <w:sz w:val="22"/>
                <w:szCs w:val="22"/>
                <w:color w:val="auto"/>
                <w:w w:val="97"/>
              </w:rPr>
              <w:t>3/1/24 - 2/28/25</w:t>
            </w:r>
          </w:p>
        </w:tc>
        <w:tc>
          <w:tcPr>
            <w:tcW w:w="940" w:type="dxa"/>
            <w:vAlign w:val="bottom"/>
            <w:shd w:val="clear" w:color="auto" w:fill="CCEEFF"/>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20.93</w:t>
            </w:r>
          </w:p>
        </w:tc>
        <w:tc>
          <w:tcPr>
            <w:tcW w:w="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40" w:type="dxa"/>
            <w:vAlign w:val="bottom"/>
            <w:gridSpan w:val="2"/>
            <w:shd w:val="clear" w:color="auto" w:fill="CCEE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382,705.05</w:t>
            </w:r>
          </w:p>
        </w:tc>
        <w:tc>
          <w:tcPr>
            <w:tcW w:w="9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gridSpan w:val="2"/>
            <w:shd w:val="clear" w:color="auto" w:fill="CCEE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31,892.09</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220" w:type="dxa"/>
            <w:vAlign w:val="bottom"/>
            <w:gridSpan w:val="3"/>
          </w:tcPr>
          <w:p>
            <w:pPr>
              <w:jc w:val="center"/>
              <w:ind w:right="480"/>
              <w:spacing w:after="0"/>
              <w:rPr>
                <w:sz w:val="20"/>
                <w:szCs w:val="20"/>
                <w:color w:val="auto"/>
              </w:rPr>
            </w:pPr>
            <w:r>
              <w:rPr>
                <w:rFonts w:ascii="Times New Roman" w:cs="Times New Roman" w:eastAsia="Times New Roman" w:hAnsi="Times New Roman"/>
                <w:sz w:val="22"/>
                <w:szCs w:val="22"/>
                <w:color w:val="auto"/>
                <w:w w:val="97"/>
              </w:rPr>
              <w:t>3/1/25 - 2/28/26</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21.45</w:t>
            </w:r>
          </w:p>
        </w:tc>
        <w:tc>
          <w:tcPr>
            <w:tcW w:w="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392,213.25</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color w:val="auto"/>
              </w:rPr>
              <w:t>32,684.44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15684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*Additional Space Rent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Commencement Date</w:t>
      </w:r>
    </w:p>
    <w:p>
      <w:pPr>
        <w:spacing w:after="0" w:line="250" w:lineRule="exact"/>
        <w:rPr>
          <w:sz w:val="20"/>
          <w:szCs w:val="20"/>
          <w:color w:val="auto"/>
        </w:rPr>
      </w:pPr>
    </w:p>
    <w:p>
      <w:pPr>
        <w:ind w:firstLine="656"/>
        <w:spacing w:after="0" w:line="258" w:lineRule="auto"/>
        <w:tabs>
          <w:tab w:leader="none" w:pos="157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numerator of “Tenant’s Proportionate Share” shall be increased to 18,285 to reflect the increased square footage of the Premises;</w:t>
      </w:r>
    </w:p>
    <w:p>
      <w:pPr>
        <w:spacing w:after="0" w:line="158" w:lineRule="exact"/>
        <w:rPr>
          <w:rFonts w:ascii="Times New Roman" w:cs="Times New Roman" w:eastAsia="Times New Roman" w:hAnsi="Times New Roman"/>
          <w:sz w:val="22"/>
          <w:szCs w:val="22"/>
          <w:color w:val="auto"/>
        </w:rPr>
      </w:pPr>
    </w:p>
    <w:p>
      <w:pPr>
        <w:ind w:firstLine="656"/>
        <w:spacing w:after="0" w:line="258" w:lineRule="auto"/>
        <w:tabs>
          <w:tab w:leader="none" w:pos="133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Electric Charge shall be increased to $2,895.13 per month to reflect the increased square footage of the Premises;</w:t>
      </w:r>
    </w:p>
    <w:p>
      <w:pPr>
        <w:spacing w:after="0" w:line="158" w:lineRule="exact"/>
        <w:rPr>
          <w:rFonts w:ascii="Times New Roman" w:cs="Times New Roman" w:eastAsia="Times New Roman" w:hAnsi="Times New Roman"/>
          <w:sz w:val="22"/>
          <w:szCs w:val="22"/>
          <w:color w:val="auto"/>
        </w:rPr>
      </w:pPr>
    </w:p>
    <w:p>
      <w:pPr>
        <w:jc w:val="both"/>
        <w:ind w:firstLine="656"/>
        <w:spacing w:after="0" w:line="244" w:lineRule="auto"/>
        <w:tabs>
          <w:tab w:leader="none" w:pos="137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43 of the Lease is amended to increase the Security Deposit from Fifty-One Thousand Sixty ($51,060.00) Dollars to a total of Eighty-Six Thousand Six Hundred Seventy-One ($86,671.00) Dollars, and Tenant shall pay the amount of such increase simultaneously with the execution hereof;</w:t>
      </w:r>
    </w:p>
    <w:p>
      <w:pPr>
        <w:spacing w:after="0" w:line="173"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45 of the Lease is amended by increasing the number of parking spaces by twenty-two</w:t>
      </w:r>
    </w:p>
    <w:p>
      <w:pPr>
        <w:spacing w:after="0" w:line="25"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total of fifty-five (55) spaces; and</w:t>
      </w:r>
    </w:p>
    <w:p>
      <w:pPr>
        <w:spacing w:after="0" w:line="182" w:lineRule="exact"/>
        <w:rPr>
          <w:rFonts w:ascii="Times New Roman" w:cs="Times New Roman" w:eastAsia="Times New Roman" w:hAnsi="Times New Roman"/>
          <w:sz w:val="22"/>
          <w:szCs w:val="22"/>
          <w:color w:val="auto"/>
        </w:rPr>
      </w:pPr>
    </w:p>
    <w:p>
      <w:pPr>
        <w:ind w:firstLine="656"/>
        <w:spacing w:after="0" w:line="258" w:lineRule="auto"/>
        <w:tabs>
          <w:tab w:leader="none" w:pos="13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46 of the Lease is amended by deleting same and substituting “Intentionally Omitted” in the place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203835</wp:posOffset>
            </wp:positionV>
            <wp:extent cx="1568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91" w:lineRule="exact"/>
        <w:rPr>
          <w:sz w:val="20"/>
          <w:szCs w:val="20"/>
          <w:color w:val="auto"/>
        </w:rPr>
      </w:pPr>
    </w:p>
    <w:p>
      <w:pPr>
        <w:ind w:left="340" w:hanging="332"/>
        <w:spacing w:after="0" w:line="262" w:lineRule="auto"/>
        <w:tabs>
          <w:tab w:leader="none" w:pos="543"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2"/>
          <w:szCs w:val="22"/>
          <w:b w:val="1"/>
          <w:bCs w:val="1"/>
          <w:color w:val="auto"/>
        </w:rPr>
        <w:t>Base Rent for the original Premises only shall be abated for the month of February 2021 per Section 4(A) of the original Lease.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1" w:name="page82"/>
    <w:bookmarkEnd w:id="81"/>
    <w:p>
      <w:pPr>
        <w:jc w:val="both"/>
        <w:ind w:firstLine="656"/>
        <w:spacing w:after="0" w:line="235" w:lineRule="auto"/>
        <w:tabs>
          <w:tab w:leader="none" w:pos="139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Landlord and Tenant hereby acknowledge and agree as follows: (a) Landlord has fully satisfied all of its obligations under the Lease with respect to the performance of work or improvements to the Premises and/or the payment or provision of any allowance or contribution for any such work; (b) Landlord shall not be required to perform any work to the Additional Space or provide any contribution or allowance or any other concessions with respect thereto in connection with this Amendment; and (c) Tenant has no outstanding rights or options of any kind under the Lease to (i) lease any other portion of Landlord’s Building, or (ii) terminate the Lease.</w:t>
      </w:r>
    </w:p>
    <w:p>
      <w:pPr>
        <w:spacing w:after="0" w:line="183" w:lineRule="exact"/>
        <w:rPr>
          <w:rFonts w:ascii="Times New Roman" w:cs="Times New Roman" w:eastAsia="Times New Roman" w:hAnsi="Times New Roman"/>
          <w:sz w:val="22"/>
          <w:szCs w:val="22"/>
          <w:color w:val="auto"/>
        </w:rPr>
      </w:pPr>
    </w:p>
    <w:p>
      <w:pPr>
        <w:jc w:val="both"/>
        <w:ind w:firstLine="656"/>
        <w:spacing w:after="0" w:line="238" w:lineRule="auto"/>
        <w:tabs>
          <w:tab w:leader="none" w:pos="137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Tenant represents that it has had no dealings with any broker or agent in connection with this Amendment and that, insofar as it knows, no other broker or agent is entitled to any commission in connection herewith. Tenant agrees to indemnify, defend and hold Landlord, and its property manager, harmless from and against any claims for a fee or commission made by any other broker claiming to have acted by or on behalf of Tenant in connection with this Amendment.</w:t>
      </w:r>
    </w:p>
    <w:p>
      <w:pPr>
        <w:spacing w:after="0" w:line="176" w:lineRule="exact"/>
        <w:rPr>
          <w:rFonts w:ascii="Times New Roman" w:cs="Times New Roman" w:eastAsia="Times New Roman" w:hAnsi="Times New Roman"/>
          <w:sz w:val="22"/>
          <w:szCs w:val="22"/>
          <w:color w:val="auto"/>
        </w:rPr>
      </w:pPr>
    </w:p>
    <w:p>
      <w:pPr>
        <w:jc w:val="both"/>
        <w:ind w:firstLine="656"/>
        <w:spacing w:after="0" w:line="238" w:lineRule="auto"/>
        <w:tabs>
          <w:tab w:leader="none" w:pos="16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Except as and to the extent amended hereby, the Lease is hereby ratified and confirmed in all respects and remains in full force and effect in accordance with the terms thereof. By signing below, Landlord and Tenant hereby (i) consent to all of the terms of this Amendment, (ii) ratify and confirm their respective obligations under the Lease, and (iii) agree that said obligations are and shall remain in full force and effect.</w:t>
      </w:r>
    </w:p>
    <w:p>
      <w:pPr>
        <w:spacing w:after="0" w:line="176" w:lineRule="exact"/>
        <w:rPr>
          <w:rFonts w:ascii="Times New Roman" w:cs="Times New Roman" w:eastAsia="Times New Roman" w:hAnsi="Times New Roman"/>
          <w:sz w:val="22"/>
          <w:szCs w:val="22"/>
          <w:color w:val="auto"/>
        </w:rPr>
      </w:pPr>
    </w:p>
    <w:p>
      <w:pPr>
        <w:jc w:val="both"/>
        <w:ind w:left="40" w:firstLine="646"/>
        <w:spacing w:after="0" w:line="238" w:lineRule="auto"/>
        <w:tabs>
          <w:tab w:leader="none" w:pos="139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Amendment and all of the provisions hereof shall be binding upon and inure to the benefit of Landlord and Tenant and their respective successors and assigns, subject to the restrictions on assignment by Tenant set forth in the Lease. In the event of any conflict between the terms, conditions and provisions of this Amendment and the terms, conditions and provisions of the Lease, then the terms, conditions and provisions of this Amendment shall govern and prevail in all respects.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2" w:name="page83"/>
    <w:bookmarkEnd w:id="82"/>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hereunto set their hands and seals, as of the day and year first above written.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 the presence of:</w:t>
            </w: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LANDLORD:</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4940" w:type="dxa"/>
            <w:vAlign w:val="bottom"/>
            <w:gridSpan w:val="2"/>
          </w:tcPr>
          <w:p>
            <w:pPr>
              <w:ind w:left="240"/>
              <w:spacing w:after="0" w:line="247" w:lineRule="exact"/>
              <w:rPr>
                <w:sz w:val="20"/>
                <w:szCs w:val="20"/>
                <w:color w:val="auto"/>
              </w:rPr>
            </w:pPr>
            <w:r>
              <w:rPr>
                <w:rFonts w:ascii="Times New Roman" w:cs="Times New Roman" w:eastAsia="Times New Roman" w:hAnsi="Times New Roman"/>
                <w:sz w:val="22"/>
                <w:szCs w:val="22"/>
                <w:b w:val="1"/>
                <w:bCs w:val="1"/>
                <w:color w:val="auto"/>
              </w:rPr>
              <w:t>FUSCO HARBOUR ASSOCIATES, LLC</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By:</w:t>
            </w:r>
          </w:p>
        </w:tc>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Fusco Harbour - EJF Inc., Its Manager</w:t>
            </w:r>
          </w:p>
        </w:tc>
        <w:tc>
          <w:tcPr>
            <w:tcW w:w="0" w:type="dxa"/>
            <w:vAlign w:val="bottom"/>
          </w:tcPr>
          <w:p>
            <w:pPr>
              <w:spacing w:after="0"/>
              <w:rPr>
                <w:sz w:val="1"/>
                <w:szCs w:val="1"/>
                <w:color w:val="auto"/>
              </w:rPr>
            </w:pPr>
          </w:p>
        </w:tc>
      </w:tr>
      <w:tr>
        <w:trPr>
          <w:trHeight w:val="717"/>
        </w:trPr>
        <w:tc>
          <w:tcPr>
            <w:tcW w:w="4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Elsie S. Mendez</w:t>
            </w: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By</w:t>
            </w:r>
          </w:p>
        </w:tc>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/s/ Lynn R. Fusco</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960" w:type="dxa"/>
            <w:vAlign w:val="bottom"/>
            <w:tcBorders>
              <w:top w:val="single" w:sz="8" w:color="auto"/>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/s/ Dennis Riley</w:t>
            </w:r>
          </w:p>
        </w:tc>
        <w:tc>
          <w:tcPr>
            <w:tcW w:w="880" w:type="dxa"/>
            <w:vAlign w:val="bottom"/>
          </w:tcPr>
          <w:p>
            <w:pPr>
              <w:spacing w:after="0"/>
              <w:rPr>
                <w:sz w:val="20"/>
                <w:szCs w:val="20"/>
                <w:color w:val="auto"/>
              </w:rPr>
            </w:pPr>
          </w:p>
        </w:tc>
        <w:tc>
          <w:tcPr>
            <w:tcW w:w="406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Lynn R. Fusco, Vice-Presdient</w:t>
            </w:r>
          </w:p>
        </w:tc>
        <w:tc>
          <w:tcPr>
            <w:tcW w:w="0" w:type="dxa"/>
            <w:vAlign w:val="bottom"/>
          </w:tcPr>
          <w:p>
            <w:pPr>
              <w:spacing w:after="0"/>
              <w:rPr>
                <w:sz w:val="1"/>
                <w:szCs w:val="1"/>
                <w:color w:val="auto"/>
              </w:rPr>
            </w:pPr>
          </w:p>
        </w:tc>
      </w:tr>
      <w:tr>
        <w:trPr>
          <w:trHeight w:val="723"/>
        </w:trPr>
        <w:tc>
          <w:tcPr>
            <w:tcW w:w="4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Elsie S. Mendez</w:t>
            </w: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By</w:t>
            </w:r>
          </w:p>
        </w:tc>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/s/ Edmund .J. Fusco</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tcBorders>
              <w:top w:val="single" w:sz="8" w:color="auto"/>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/s/ Dennis Riley</w:t>
            </w:r>
          </w:p>
        </w:tc>
        <w:tc>
          <w:tcPr>
            <w:tcW w:w="880" w:type="dxa"/>
            <w:vAlign w:val="bottom"/>
          </w:tcPr>
          <w:p>
            <w:pPr>
              <w:spacing w:after="0"/>
              <w:rPr>
                <w:sz w:val="20"/>
                <w:szCs w:val="20"/>
                <w:color w:val="auto"/>
              </w:rPr>
            </w:pPr>
          </w:p>
        </w:tc>
        <w:tc>
          <w:tcPr>
            <w:tcW w:w="4060" w:type="dxa"/>
            <w:vAlign w:val="bottom"/>
            <w:tcBorders>
              <w:top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Edmund J. Fusco, Jr., Vice-President</w:t>
            </w:r>
          </w:p>
        </w:tc>
        <w:tc>
          <w:tcPr>
            <w:tcW w:w="0" w:type="dxa"/>
            <w:vAlign w:val="bottom"/>
          </w:tcPr>
          <w:p>
            <w:pPr>
              <w:spacing w:after="0"/>
              <w:rPr>
                <w:sz w:val="1"/>
                <w:szCs w:val="1"/>
                <w:color w:val="auto"/>
              </w:rPr>
            </w:pPr>
          </w:p>
        </w:tc>
      </w:tr>
      <w:tr>
        <w:trPr>
          <w:trHeight w:val="691"/>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TENANT: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9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BIOXCEL THERAPEUTICS, INC.</w:t>
            </w:r>
          </w:p>
        </w:tc>
        <w:tc>
          <w:tcPr>
            <w:tcW w:w="0" w:type="dxa"/>
            <w:vAlign w:val="bottom"/>
          </w:tcPr>
          <w:p>
            <w:pPr>
              <w:spacing w:after="0"/>
              <w:rPr>
                <w:sz w:val="1"/>
                <w:szCs w:val="1"/>
                <w:color w:val="auto"/>
              </w:rPr>
            </w:pPr>
          </w:p>
        </w:tc>
      </w:tr>
      <w:tr>
        <w:trPr>
          <w:trHeight w:val="690"/>
        </w:trPr>
        <w:tc>
          <w:tcPr>
            <w:tcW w:w="4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William C. Lorenz</w:t>
            </w:r>
          </w:p>
        </w:tc>
        <w:tc>
          <w:tcPr>
            <w:tcW w:w="8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By:</w:t>
            </w:r>
          </w:p>
        </w:tc>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/s/ Kimberly A Sheehan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William C. Lorenz</w:t>
            </w:r>
          </w:p>
        </w:tc>
        <w:tc>
          <w:tcPr>
            <w:tcW w:w="880" w:type="dxa"/>
            <w:vAlign w:val="bottom"/>
            <w:vMerge w:val="continue"/>
          </w:tcPr>
          <w:p>
            <w:pPr>
              <w:spacing w:after="0"/>
              <w:rPr>
                <w:sz w:val="18"/>
                <w:szCs w:val="18"/>
                <w:color w:val="auto"/>
              </w:rPr>
            </w:pPr>
          </w:p>
        </w:tc>
        <w:tc>
          <w:tcPr>
            <w:tcW w:w="40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Kimberly A Sheehan</w:t>
            </w:r>
          </w:p>
        </w:tc>
        <w:tc>
          <w:tcPr>
            <w:tcW w:w="0" w:type="dxa"/>
            <w:vAlign w:val="bottom"/>
          </w:tcPr>
          <w:p>
            <w:pPr>
              <w:spacing w:after="0"/>
              <w:rPr>
                <w:sz w:val="1"/>
                <w:szCs w:val="1"/>
                <w:color w:val="auto"/>
              </w:rPr>
            </w:pPr>
          </w:p>
        </w:tc>
      </w:tr>
      <w:tr>
        <w:trPr>
          <w:trHeight w:val="27"/>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/s/ Mark O’Hagan</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Title:</w:t>
            </w:r>
          </w:p>
        </w:tc>
        <w:tc>
          <w:tcPr>
            <w:tcW w:w="4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98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406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VP of HR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Mark O’Hagan</w:t>
            </w:r>
          </w:p>
        </w:tc>
        <w:tc>
          <w:tcPr>
            <w:tcW w:w="880" w:type="dxa"/>
            <w:vAlign w:val="bottom"/>
          </w:tcPr>
          <w:p>
            <w:pPr>
              <w:spacing w:after="0"/>
              <w:rPr>
                <w:sz w:val="23"/>
                <w:szCs w:val="23"/>
                <w:color w:val="auto"/>
              </w:rPr>
            </w:pPr>
          </w:p>
        </w:tc>
        <w:tc>
          <w:tcPr>
            <w:tcW w:w="4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STATE OF CONNECTICUT )</w:t>
      </w:r>
    </w:p>
    <w:p>
      <w:pPr>
        <w:spacing w:after="0" w:line="4" w:lineRule="exact"/>
        <w:rPr>
          <w:sz w:val="20"/>
          <w:szCs w:val="20"/>
          <w:color w:val="auto"/>
        </w:rPr>
      </w:pPr>
    </w:p>
    <w:p>
      <w:pPr>
        <w:ind w:left="2660"/>
        <w:spacing w:after="0"/>
        <w:tabs>
          <w:tab w:leader="none" w:pos="7660" w:val="left"/>
        </w:tabs>
        <w:rPr>
          <w:sz w:val="20"/>
          <w:szCs w:val="20"/>
          <w:color w:val="auto"/>
        </w:rPr>
      </w:pPr>
      <w:r>
        <w:rPr>
          <w:rFonts w:ascii="Times New Roman" w:cs="Times New Roman" w:eastAsia="Times New Roman" w:hAnsi="Times New Roman"/>
          <w:sz w:val="22"/>
          <w:szCs w:val="22"/>
          <w:color w:val="auto"/>
        </w:rPr>
        <w:t>)ss.:</w:t>
      </w:r>
      <w:r>
        <w:rPr>
          <w:sz w:val="20"/>
          <w:szCs w:val="20"/>
          <w:color w:val="auto"/>
        </w:rPr>
        <w:tab/>
      </w:r>
      <w:r>
        <w:rPr>
          <w:rFonts w:ascii="Times New Roman" w:cs="Times New Roman" w:eastAsia="Times New Roman" w:hAnsi="Times New Roman"/>
          <w:sz w:val="22"/>
          <w:szCs w:val="22"/>
          <w:u w:val="single" w:color="auto"/>
          <w:color w:val="auto"/>
        </w:rPr>
        <w:t>August 24</w:t>
      </w:r>
      <w:r>
        <w:rPr>
          <w:rFonts w:ascii="Times New Roman" w:cs="Times New Roman" w:eastAsia="Times New Roman" w:hAnsi="Times New Roman"/>
          <w:sz w:val="22"/>
          <w:szCs w:val="22"/>
          <w:color w:val="auto"/>
        </w:rPr>
        <w:t>, 2020</w:t>
      </w:r>
    </w:p>
    <w:p>
      <w:pPr>
        <w:spacing w:after="0"/>
        <w:rPr>
          <w:sz w:val="20"/>
          <w:szCs w:val="20"/>
          <w:color w:val="auto"/>
        </w:rPr>
      </w:pPr>
      <w:r>
        <w:rPr>
          <w:rFonts w:ascii="Times New Roman" w:cs="Times New Roman" w:eastAsia="Times New Roman" w:hAnsi="Times New Roman"/>
          <w:sz w:val="22"/>
          <w:szCs w:val="22"/>
          <w:color w:val="auto"/>
        </w:rPr>
        <w:t>COUNTY OF NEW HAVEN )</w:t>
      </w:r>
    </w:p>
    <w:p>
      <w:pPr>
        <w:spacing w:after="0" w:line="20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Personally appeared, LYNN R. FUSCO, the Vice-President of Fusco Harbour - EJF Inc., the Manager FUSCO HARBOUR ASSOCIATES, LLC, signer and sealer of the foregoing instrument, and acknowledged the same to be his/her free act and deed and the free act and deed of said Manager and said limited liability company before me.</w:t>
      </w:r>
    </w:p>
    <w:p>
      <w:pPr>
        <w:spacing w:after="0" w:line="2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/s/ ANGELA M SALVATI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10795</wp:posOffset>
            </wp:positionV>
            <wp:extent cx="30861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22"/>
          <w:szCs w:val="22"/>
          <w:color w:val="auto"/>
        </w:rPr>
        <w:t>Notary Public - State of Connecticut</w:t>
      </w:r>
    </w:p>
    <w:p>
      <w:pPr>
        <w:ind w:left="5060"/>
        <w:spacing w:after="0" w:line="230" w:lineRule="auto"/>
        <w:rPr>
          <w:sz w:val="20"/>
          <w:szCs w:val="20"/>
          <w:color w:val="auto"/>
        </w:rPr>
      </w:pPr>
      <w:r>
        <w:rPr>
          <w:rFonts w:ascii="Times New Roman" w:cs="Times New Roman" w:eastAsia="Times New Roman" w:hAnsi="Times New Roman"/>
          <w:sz w:val="22"/>
          <w:szCs w:val="22"/>
          <w:color w:val="auto"/>
        </w:rPr>
        <w:t>My Commission Expires:</w:t>
      </w:r>
    </w:p>
    <w:p>
      <w:pPr>
        <w:jc w:val="center"/>
        <w:ind w:left="5040"/>
        <w:spacing w:after="0" w:line="231" w:lineRule="auto"/>
        <w:rPr>
          <w:sz w:val="20"/>
          <w:szCs w:val="20"/>
          <w:color w:val="auto"/>
        </w:rPr>
      </w:pPr>
      <w:r>
        <w:rPr>
          <w:rFonts w:ascii="Times New Roman" w:cs="Times New Roman" w:eastAsia="Times New Roman" w:hAnsi="Times New Roman"/>
          <w:sz w:val="22"/>
          <w:szCs w:val="22"/>
          <w:color w:val="auto"/>
        </w:rPr>
        <w:t>ANGELA M. SALVAT1</w:t>
      </w:r>
    </w:p>
    <w:p>
      <w:pPr>
        <w:jc w:val="center"/>
        <w:ind w:left="5040"/>
        <w:spacing w:after="0" w:line="230" w:lineRule="auto"/>
        <w:rPr>
          <w:sz w:val="20"/>
          <w:szCs w:val="20"/>
          <w:color w:val="auto"/>
        </w:rPr>
      </w:pPr>
      <w:r>
        <w:rPr>
          <w:rFonts w:ascii="Times New Roman" w:cs="Times New Roman" w:eastAsia="Times New Roman" w:hAnsi="Times New Roman"/>
          <w:sz w:val="22"/>
          <w:szCs w:val="22"/>
          <w:i w:val="1"/>
          <w:iCs w:val="1"/>
          <w:color w:val="auto"/>
        </w:rPr>
        <w:t>NOTARY PUBLIC</w:t>
      </w:r>
    </w:p>
    <w:p>
      <w:pPr>
        <w:spacing w:after="0" w:line="1"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22"/>
          <w:szCs w:val="22"/>
          <w:color w:val="auto"/>
        </w:rPr>
        <w:t>MY COMMISSION EXPIRES JULY 31,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CONNECTICUT )</w:t>
      </w:r>
    </w:p>
    <w:p>
      <w:pPr>
        <w:spacing w:after="0" w:line="4" w:lineRule="exact"/>
        <w:rPr>
          <w:sz w:val="20"/>
          <w:szCs w:val="20"/>
          <w:color w:val="auto"/>
        </w:rPr>
      </w:pPr>
    </w:p>
    <w:p>
      <w:pPr>
        <w:ind w:left="2660"/>
        <w:spacing w:after="0"/>
        <w:tabs>
          <w:tab w:leader="none" w:pos="7820" w:val="left"/>
        </w:tabs>
        <w:rPr>
          <w:sz w:val="20"/>
          <w:szCs w:val="20"/>
          <w:color w:val="auto"/>
        </w:rPr>
      </w:pPr>
      <w:r>
        <w:rPr>
          <w:rFonts w:ascii="Times New Roman" w:cs="Times New Roman" w:eastAsia="Times New Roman" w:hAnsi="Times New Roman"/>
          <w:sz w:val="22"/>
          <w:szCs w:val="22"/>
          <w:color w:val="auto"/>
        </w:rPr>
        <w:t>)ss.:</w:t>
      </w:r>
      <w:r>
        <w:rPr>
          <w:sz w:val="20"/>
          <w:szCs w:val="20"/>
          <w:color w:val="auto"/>
        </w:rPr>
        <w:tab/>
      </w:r>
      <w:r>
        <w:rPr>
          <w:rFonts w:ascii="Times New Roman" w:cs="Times New Roman" w:eastAsia="Times New Roman" w:hAnsi="Times New Roman"/>
          <w:sz w:val="22"/>
          <w:szCs w:val="22"/>
          <w:u w:val="single" w:color="auto"/>
          <w:color w:val="auto"/>
        </w:rPr>
        <w:t>August 24</w:t>
      </w:r>
      <w:r>
        <w:rPr>
          <w:rFonts w:ascii="Times New Roman" w:cs="Times New Roman" w:eastAsia="Times New Roman" w:hAnsi="Times New Roman"/>
          <w:sz w:val="22"/>
          <w:szCs w:val="22"/>
          <w:color w:val="auto"/>
        </w:rPr>
        <w:t>, 2020</w:t>
      </w:r>
    </w:p>
    <w:p>
      <w:pPr>
        <w:spacing w:after="0"/>
        <w:rPr>
          <w:sz w:val="20"/>
          <w:szCs w:val="20"/>
          <w:color w:val="auto"/>
        </w:rPr>
      </w:pPr>
      <w:r>
        <w:rPr>
          <w:rFonts w:ascii="Times New Roman" w:cs="Times New Roman" w:eastAsia="Times New Roman" w:hAnsi="Times New Roman"/>
          <w:sz w:val="22"/>
          <w:szCs w:val="22"/>
          <w:color w:val="auto"/>
        </w:rPr>
        <w:t>COUNTY OF NEW HAVEN )</w:t>
      </w:r>
    </w:p>
    <w:p>
      <w:pPr>
        <w:spacing w:after="0" w:line="20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Personally appeared, EDMUND J. FUSCO, JR., the Vice-President of Fusco Harbour - EJF Inc., the Manager FUSCO HARBOUR ASSOCIATES, LLC, signer and sealer of the foregoing instrument, and acknowledged the same to be his/her free act and deed and the free act and deed of said Manager and said limited liability company, before me.</w:t>
      </w:r>
    </w:p>
    <w:p>
      <w:pPr>
        <w:spacing w:after="0" w:line="2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/s/ ANGELA M SALVATI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10795</wp:posOffset>
            </wp:positionV>
            <wp:extent cx="30861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22"/>
          <w:szCs w:val="22"/>
          <w:color w:val="auto"/>
        </w:rPr>
        <w:t>Notary Public - State of Connecticut</w:t>
      </w:r>
    </w:p>
    <w:p>
      <w:pPr>
        <w:ind w:left="5060"/>
        <w:spacing w:after="0" w:line="230" w:lineRule="auto"/>
        <w:rPr>
          <w:sz w:val="20"/>
          <w:szCs w:val="20"/>
          <w:color w:val="auto"/>
        </w:rPr>
      </w:pPr>
      <w:r>
        <w:rPr>
          <w:rFonts w:ascii="Times New Roman" w:cs="Times New Roman" w:eastAsia="Times New Roman" w:hAnsi="Times New Roman"/>
          <w:sz w:val="22"/>
          <w:szCs w:val="22"/>
          <w:color w:val="auto"/>
        </w:rPr>
        <w:t>My Commission Expires:</w:t>
      </w:r>
    </w:p>
    <w:p>
      <w:pPr>
        <w:jc w:val="center"/>
        <w:ind w:left="5040"/>
        <w:spacing w:after="0" w:line="231" w:lineRule="auto"/>
        <w:rPr>
          <w:sz w:val="20"/>
          <w:szCs w:val="20"/>
          <w:color w:val="auto"/>
        </w:rPr>
      </w:pPr>
      <w:r>
        <w:rPr>
          <w:rFonts w:ascii="Times New Roman" w:cs="Times New Roman" w:eastAsia="Times New Roman" w:hAnsi="Times New Roman"/>
          <w:sz w:val="22"/>
          <w:szCs w:val="22"/>
          <w:color w:val="auto"/>
        </w:rPr>
        <w:t>ANGELA M. SALVAT1</w:t>
      </w:r>
    </w:p>
    <w:p>
      <w:pPr>
        <w:jc w:val="center"/>
        <w:ind w:left="5040"/>
        <w:spacing w:after="0" w:line="230" w:lineRule="auto"/>
        <w:rPr>
          <w:sz w:val="20"/>
          <w:szCs w:val="20"/>
          <w:color w:val="auto"/>
        </w:rPr>
      </w:pPr>
      <w:r>
        <w:rPr>
          <w:rFonts w:ascii="Times New Roman" w:cs="Times New Roman" w:eastAsia="Times New Roman" w:hAnsi="Times New Roman"/>
          <w:sz w:val="22"/>
          <w:szCs w:val="22"/>
          <w:i w:val="1"/>
          <w:iCs w:val="1"/>
          <w:color w:val="auto"/>
        </w:rPr>
        <w:t>NOTARY PUBLIC</w:t>
      </w:r>
    </w:p>
    <w:p>
      <w:pPr>
        <w:spacing w:after="0" w:line="1"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22"/>
          <w:szCs w:val="22"/>
          <w:color w:val="auto"/>
        </w:rPr>
        <w:t>MY COMMISSION EXPIRES JULY 31,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CONNECTICUT )</w:t>
      </w:r>
    </w:p>
    <w:p>
      <w:pPr>
        <w:spacing w:after="0" w:line="4" w:lineRule="exact"/>
        <w:rPr>
          <w:sz w:val="20"/>
          <w:szCs w:val="20"/>
          <w:color w:val="auto"/>
        </w:rPr>
      </w:pPr>
    </w:p>
    <w:p>
      <w:pPr>
        <w:ind w:left="2660"/>
        <w:spacing w:after="0"/>
        <w:tabs>
          <w:tab w:leader="none" w:pos="7820" w:val="left"/>
        </w:tabs>
        <w:rPr>
          <w:sz w:val="20"/>
          <w:szCs w:val="20"/>
          <w:color w:val="auto"/>
        </w:rPr>
      </w:pPr>
      <w:r>
        <w:rPr>
          <w:rFonts w:ascii="Times New Roman" w:cs="Times New Roman" w:eastAsia="Times New Roman" w:hAnsi="Times New Roman"/>
          <w:sz w:val="22"/>
          <w:szCs w:val="22"/>
          <w:color w:val="auto"/>
        </w:rPr>
        <w:t>)ss.:</w:t>
      </w:r>
      <w:r>
        <w:rPr>
          <w:sz w:val="20"/>
          <w:szCs w:val="20"/>
          <w:color w:val="auto"/>
        </w:rPr>
        <w:tab/>
      </w:r>
      <w:r>
        <w:rPr>
          <w:rFonts w:ascii="Times New Roman" w:cs="Times New Roman" w:eastAsia="Times New Roman" w:hAnsi="Times New Roman"/>
          <w:sz w:val="22"/>
          <w:szCs w:val="22"/>
          <w:u w:val="single" w:color="auto"/>
          <w:color w:val="auto"/>
        </w:rPr>
        <w:t>August 19</w:t>
      </w:r>
      <w:r>
        <w:rPr>
          <w:rFonts w:ascii="Times New Roman" w:cs="Times New Roman" w:eastAsia="Times New Roman" w:hAnsi="Times New Roman"/>
          <w:sz w:val="22"/>
          <w:szCs w:val="22"/>
          <w:color w:val="auto"/>
        </w:rPr>
        <w:t>, 2020</w:t>
      </w:r>
    </w:p>
    <w:p>
      <w:pPr>
        <w:spacing w:after="0"/>
        <w:rPr>
          <w:sz w:val="20"/>
          <w:szCs w:val="20"/>
          <w:color w:val="auto"/>
        </w:rPr>
      </w:pPr>
      <w:r>
        <w:rPr>
          <w:rFonts w:ascii="Times New Roman" w:cs="Times New Roman" w:eastAsia="Times New Roman" w:hAnsi="Times New Roman"/>
          <w:sz w:val="22"/>
          <w:szCs w:val="22"/>
          <w:color w:val="auto"/>
        </w:rPr>
        <w:t>COUNTY OF NEW HAVEN )</w:t>
      </w:r>
    </w:p>
    <w:p>
      <w:pPr>
        <w:spacing w:after="0" w:line="2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Personally appeared, </w:t>
      </w:r>
      <w:r>
        <w:rPr>
          <w:rFonts w:ascii="Times New Roman" w:cs="Times New Roman" w:eastAsia="Times New Roman" w:hAnsi="Times New Roman"/>
          <w:sz w:val="22"/>
          <w:szCs w:val="22"/>
          <w:u w:val="single" w:color="auto"/>
          <w:color w:val="auto"/>
        </w:rPr>
        <w:t>Kimberly A Sheehan,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V.P of HR</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BIOXCEL THERAPEUTICS, INC.,</w:t>
      </w:r>
      <w:r>
        <w:rPr>
          <w:rFonts w:ascii="Times New Roman" w:cs="Times New Roman" w:eastAsia="Times New Roman" w:hAnsi="Times New Roman"/>
          <w:sz w:val="22"/>
          <w:szCs w:val="22"/>
          <w:color w:val="auto"/>
        </w:rPr>
        <w:t xml:space="preserve"> signer and sealer of the foregoing instrument, and acknowledged the same to be his/her free act and deed as such officer and the free act and deed of said company, before me.</w:t>
      </w:r>
    </w:p>
    <w:p>
      <w:pPr>
        <w:spacing w:after="0" w:line="21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/s/ ANGELA M SALVATI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10795</wp:posOffset>
            </wp:positionV>
            <wp:extent cx="30861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22"/>
          <w:szCs w:val="22"/>
          <w:color w:val="auto"/>
        </w:rPr>
        <w:t>Notary Public - State of Connecticut</w:t>
      </w:r>
    </w:p>
    <w:p>
      <w:pPr>
        <w:ind w:left="5060"/>
        <w:spacing w:after="0" w:line="230" w:lineRule="auto"/>
        <w:rPr>
          <w:sz w:val="20"/>
          <w:szCs w:val="20"/>
          <w:color w:val="auto"/>
        </w:rPr>
      </w:pPr>
      <w:r>
        <w:rPr>
          <w:rFonts w:ascii="Times New Roman" w:cs="Times New Roman" w:eastAsia="Times New Roman" w:hAnsi="Times New Roman"/>
          <w:sz w:val="22"/>
          <w:szCs w:val="22"/>
          <w:color w:val="auto"/>
        </w:rPr>
        <w:t>My Commission Expires:</w:t>
      </w:r>
    </w:p>
    <w:p>
      <w:pPr>
        <w:jc w:val="center"/>
        <w:ind w:left="5040"/>
        <w:spacing w:after="0" w:line="231" w:lineRule="auto"/>
        <w:rPr>
          <w:sz w:val="20"/>
          <w:szCs w:val="20"/>
          <w:color w:val="auto"/>
        </w:rPr>
      </w:pPr>
      <w:r>
        <w:rPr>
          <w:rFonts w:ascii="Times New Roman" w:cs="Times New Roman" w:eastAsia="Times New Roman" w:hAnsi="Times New Roman"/>
          <w:sz w:val="22"/>
          <w:szCs w:val="22"/>
          <w:color w:val="auto"/>
        </w:rPr>
        <w:t>ANGELA M. SALVATI</w:t>
      </w:r>
    </w:p>
    <w:p>
      <w:pPr>
        <w:jc w:val="center"/>
        <w:ind w:left="5040"/>
        <w:spacing w:after="0" w:line="230" w:lineRule="auto"/>
        <w:rPr>
          <w:sz w:val="20"/>
          <w:szCs w:val="20"/>
          <w:color w:val="auto"/>
        </w:rPr>
      </w:pPr>
      <w:r>
        <w:rPr>
          <w:rFonts w:ascii="Times New Roman" w:cs="Times New Roman" w:eastAsia="Times New Roman" w:hAnsi="Times New Roman"/>
          <w:sz w:val="22"/>
          <w:szCs w:val="22"/>
          <w:i w:val="1"/>
          <w:iCs w:val="1"/>
          <w:color w:val="auto"/>
        </w:rPr>
        <w:t>NOTARY PUBLIC</w:t>
      </w:r>
    </w:p>
    <w:p>
      <w:pPr>
        <w:spacing w:after="0" w:line="1"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22"/>
          <w:szCs w:val="22"/>
          <w:color w:val="auto"/>
        </w:rPr>
        <w:t>MY COMMISSION EXPIRES JULY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9" w:right="99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ADDITIONAL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157480</wp:posOffset>
            </wp:positionV>
            <wp:extent cx="5366385" cy="3454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36638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5" w:name="page86"/>
    <w:bookmarkEnd w:id="8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333" w:lineRule="exact"/>
        <w:rPr>
          <w:sz w:val="20"/>
          <w:szCs w:val="20"/>
          <w:color w:val="auto"/>
        </w:rPr>
      </w:pPr>
    </w:p>
    <w:p>
      <w:pPr>
        <w:ind w:left="540" w:right="819" w:hanging="331"/>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2020 of BioXcel Therapeutics, Inc.;</w:t>
      </w:r>
    </w:p>
    <w:p>
      <w:pPr>
        <w:spacing w:after="0" w:line="148"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020" w:right="239" w:hanging="325"/>
        <w:spacing w:after="0" w:line="261" w:lineRule="auto"/>
        <w:tabs>
          <w:tab w:leader="none" w:pos="150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020" w:right="239" w:hanging="325"/>
        <w:spacing w:after="0" w:line="261" w:lineRule="auto"/>
        <w:tabs>
          <w:tab w:leader="none" w:pos="150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020" w:right="399" w:hanging="325"/>
        <w:spacing w:after="0" w:line="266" w:lineRule="auto"/>
        <w:tabs>
          <w:tab w:leader="none" w:pos="150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020" w:right="239" w:hanging="325"/>
        <w:spacing w:after="0" w:line="261" w:lineRule="auto"/>
        <w:tabs>
          <w:tab w:leader="none" w:pos="150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jc w:val="both"/>
        <w:ind w:left="1020" w:right="519" w:hanging="325"/>
        <w:spacing w:after="0" w:line="266" w:lineRule="auto"/>
        <w:tabs>
          <w:tab w:leader="none" w:pos="150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739" w:hanging="325"/>
        <w:spacing w:after="0" w:line="282" w:lineRule="auto"/>
        <w:tabs>
          <w:tab w:leader="none" w:pos="150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5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6" w:name="page87"/>
    <w:bookmarkEnd w:id="8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333" w:lineRule="exact"/>
        <w:rPr>
          <w:sz w:val="20"/>
          <w:szCs w:val="20"/>
          <w:color w:val="auto"/>
        </w:rPr>
      </w:pPr>
    </w:p>
    <w:p>
      <w:pPr>
        <w:ind w:left="540" w:right="819" w:hanging="331"/>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2020 of BioXcel Therapeutics, Inc.;</w:t>
      </w:r>
    </w:p>
    <w:p>
      <w:pPr>
        <w:spacing w:after="0" w:line="148"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5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50"/>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7" w:name="page88"/>
    <w:bookmarkEnd w:id="8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left="200" w:right="219"/>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6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September 30, 2020,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020" w:right="919" w:hanging="325"/>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48" w:lineRule="exact"/>
        <w:rPr>
          <w:rFonts w:ascii="Times New Roman" w:cs="Times New Roman" w:eastAsia="Times New Roman" w:hAnsi="Times New Roman"/>
          <w:sz w:val="18"/>
          <w:szCs w:val="18"/>
          <w:color w:val="auto"/>
        </w:rPr>
      </w:pPr>
    </w:p>
    <w:p>
      <w:pPr>
        <w:ind w:left="1020" w:right="359" w:hanging="325"/>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56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8" w:name="page89"/>
    <w:bookmarkEnd w:id="8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ind w:left="200" w:right="219"/>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6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September 30, 2020,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020" w:right="919" w:hanging="325"/>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48" w:lineRule="exact"/>
        <w:rPr>
          <w:rFonts w:ascii="Times New Roman" w:cs="Times New Roman" w:eastAsia="Times New Roman" w:hAnsi="Times New Roman"/>
          <w:sz w:val="18"/>
          <w:szCs w:val="18"/>
          <w:color w:val="auto"/>
        </w:rPr>
      </w:pPr>
    </w:p>
    <w:p>
      <w:pPr>
        <w:ind w:left="1020" w:right="359" w:hanging="325"/>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5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amp;"/>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1"/>
    </w:lvl>
    <w:lvl w:ilvl="1">
      <w:lvlJc w:val="left"/>
      <w:lvlText w:val="(%2)"/>
      <w:numFmt w:val="lowerLetter"/>
      <w:start w:val="1"/>
    </w:lvl>
  </w:abstractNum>
  <w:abstractNum w:abstractNumId="42">
    <w:nsid w:val="32FFF902"/>
    <w:multiLevelType w:val="hybridMultilevel"/>
    <w:lvl w:ilvl="0">
      <w:lvlJc w:val="left"/>
      <w:lvlText w:val="%1."/>
      <w:numFmt w:val="decimal"/>
      <w:start w:val="2"/>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decimal"/>
      <w:start w:val="3"/>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1"/>
    </w:lvl>
    <w:lvl w:ilvl="1">
      <w:lvlJc w:val="left"/>
      <w:lvlText w:val="(%2)"/>
      <w:numFmt w:val="lowerLetter"/>
      <w:start w:val="4"/>
    </w:lvl>
  </w:abstractNum>
  <w:abstractNum w:abstractNumId="47">
    <w:nsid w:val="1BA026FA"/>
    <w:multiLevelType w:val="hybridMultilevel"/>
    <w:lvl w:ilvl="0">
      <w:lvlJc w:val="left"/>
      <w:lvlText w:val="(%1)"/>
      <w:numFmt w:val="decimal"/>
      <w:start w:val="22"/>
    </w:lvl>
    <w:lvl w:ilvl="1">
      <w:lvlJc w:val="left"/>
      <w:lvlText w:val="(%2)"/>
      <w:numFmt w:val="lowerLetter"/>
      <w:start w:val="8"/>
    </w:lvl>
  </w:abstractNum>
  <w:abstractNum w:abstractNumId="48">
    <w:nsid w:val="79A1DEAA"/>
    <w:multiLevelType w:val="hybridMultilevel"/>
    <w:lvl w:ilvl="0">
      <w:lvlJc w:val="left"/>
      <w:lvlText w:val="1"/>
      <w:numFmt w:val="bullet"/>
      <w:start w:val="1"/>
    </w:lvl>
  </w:abstractNum>
  <w:abstractNum w:abstractNumId="49">
    <w:nsid w:val="75C6C33A"/>
    <w:multiLevelType w:val="hybridMultilevel"/>
    <w:lvl w:ilvl="0">
      <w:lvlJc w:val="left"/>
      <w:lvlText w:val="%1."/>
      <w:numFmt w:val="decimal"/>
      <w:start w:val="3"/>
    </w:lvl>
    <w:lvl w:ilvl="1">
      <w:lvlJc w:val="left"/>
      <w:lvlText w:val="%2."/>
      <w:numFmt w:val="decimal"/>
      <w:start w:val="6"/>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jpeg"/><Relationship Id="rId109" Type="http://schemas.openxmlformats.org/officeDocument/2006/relationships/image" Target="media/image100.png"/><Relationship Id="rId93" Type="http://schemas.openxmlformats.org/officeDocument/2006/relationships/hyperlink" Target="https://www.sec.gov/Archives/edgar/data/1720893/000110465918016770/a18-8090_1ex3d1.htm" TargetMode="External"/><Relationship Id="rId94" Type="http://schemas.openxmlformats.org/officeDocument/2006/relationships/hyperlink" Target="https://www.sec.gov/Archives/edgar/data/1720893/000110465918016770/a18-8090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2020-11-12T08:13:21Z</dcterms:created>
  <dcterms:modified xsi:type="dcterms:W3CDTF">2020-11-12T08:13:21Z</dcterms:modified>
</cp:coreProperties>
</file>