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300" w:right="280" w:hanging="3022"/>
        <w:spacing w:after="0" w:line="375" w:lineRule="auto"/>
        <w:tabs>
          <w:tab w:leader="none" w:pos="7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7"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2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May 7, 2024 was 37,530,821.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Equity for the three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2024 and 2023</w:t>
            </w:r>
          </w:p>
        </w:tc>
        <w:tc>
          <w:tcPr>
            <w:tcW w:w="4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22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spacing w:after="0" w:line="5"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relating to, anticipated benefits from, and cost savings from our Reprioritization (as defined herein);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program;</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9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84" w:lineRule="exact"/>
        <w:rPr>
          <w:sz w:val="20"/>
          <w:szCs w:val="20"/>
          <w:color w:val="auto"/>
        </w:rPr>
      </w:pPr>
    </w:p>
    <w:p>
      <w:pPr>
        <w:ind w:left="60" w:right="199" w:firstLine="324"/>
        <w:spacing w:after="0" w:line="23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81" w:lineRule="exact"/>
        <w:rPr>
          <w:sz w:val="20"/>
          <w:szCs w:val="20"/>
          <w:color w:val="auto"/>
        </w:rPr>
      </w:pPr>
    </w:p>
    <w:p>
      <w:pPr>
        <w:ind w:left="60" w:right="299" w:firstLine="324"/>
        <w:spacing w:after="0" w:line="264" w:lineRule="auto"/>
        <w:rPr>
          <w:sz w:val="20"/>
          <w:szCs w:val="20"/>
          <w:color w:val="auto"/>
        </w:rPr>
      </w:pPr>
      <w:r>
        <w:rPr>
          <w:rFonts w:ascii="Times New Roman" w:cs="Times New Roman" w:eastAsia="Times New Roman" w:hAnsi="Times New Roman"/>
          <w:sz w:val="17"/>
          <w:szCs w:val="17"/>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pacing w:after="0" w:line="3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17" w:lineRule="exact"/>
        <w:rPr>
          <w:sz w:val="20"/>
          <w:szCs w:val="20"/>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21"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related reduction in force may not achieve our intended outcome.</w:t>
      </w:r>
    </w:p>
    <w:p>
      <w:pPr>
        <w:spacing w:after="0" w:line="184"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42"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4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p>
      <w:pPr>
        <w:spacing w:after="0" w:line="148" w:lineRule="exact"/>
        <w:rPr>
          <w:rFonts w:ascii="Times New Roman" w:cs="Times New Roman" w:eastAsia="Times New Roman" w:hAnsi="Times New Roman"/>
          <w:sz w:val="18"/>
          <w:szCs w:val="18"/>
          <w:color w:val="auto"/>
        </w:rPr>
      </w:pPr>
    </w:p>
    <w:p>
      <w:pPr>
        <w:ind w:left="720" w:right="179" w:hanging="319"/>
        <w:spacing w:after="0" w:line="21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either alone or with a collaborator, or if we experience significant delays in doing so, our business could be substantially harmed.</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difficult to design, difficult to conduct and involve an uncertain outcome.</w:t>
      </w:r>
    </w:p>
    <w:p>
      <w:pPr>
        <w:spacing w:after="0" w:line="198"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35"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42"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p>
      <w:pPr>
        <w:spacing w:after="0" w:line="148"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27" w:lineRule="exact"/>
        <w:rPr>
          <w:rFonts w:ascii="Times New Roman" w:cs="Times New Roman" w:eastAsia="Times New Roman" w:hAnsi="Times New Roman"/>
          <w:sz w:val="18"/>
          <w:szCs w:val="18"/>
          <w:color w:val="auto"/>
        </w:rPr>
      </w:pPr>
    </w:p>
    <w:p>
      <w:pPr>
        <w:jc w:val="both"/>
        <w:ind w:left="720" w:right="3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product candidates for which we obtain approval.</w:t>
      </w:r>
    </w:p>
    <w:p>
      <w:pPr>
        <w:spacing w:after="0" w:line="38" w:lineRule="exact"/>
        <w:rPr>
          <w:rFonts w:ascii="Times New Roman" w:cs="Times New Roman" w:eastAsia="Times New Roman" w:hAnsi="Times New Roman"/>
          <w:sz w:val="18"/>
          <w:szCs w:val="18"/>
          <w:color w:val="auto"/>
        </w:rPr>
      </w:pPr>
    </w:p>
    <w:p>
      <w:pPr>
        <w:ind w:left="720" w:right="239" w:hanging="319"/>
        <w:spacing w:after="0" w:line="22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products and product candidates may not be accepted by physicians or the medical community in general, and there may be insufficient insurance coverage and reimbursement.</w:t>
      </w:r>
    </w:p>
    <w:p>
      <w:pPr>
        <w:spacing w:after="0" w:line="173"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which may adversely affect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8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BioXcel LLC has significant influence over the direction of our business, and the concentrated ownership of our common stock will prevent you and other stockholders from influencing significant decisions.</w:t>
      </w:r>
    </w:p>
    <w:p>
      <w:pPr>
        <w:spacing w:after="0" w:line="134" w:lineRule="exact"/>
        <w:rPr>
          <w:rFonts w:ascii="Times New Roman" w:cs="Times New Roman" w:eastAsia="Times New Roman" w:hAnsi="Times New Roman"/>
          <w:sz w:val="18"/>
          <w:szCs w:val="18"/>
          <w:color w:val="auto"/>
        </w:rPr>
      </w:pPr>
    </w:p>
    <w:p>
      <w:pPr>
        <w:jc w:val="both"/>
        <w:ind w:left="720" w:right="699" w:hanging="319"/>
        <w:spacing w:after="0" w:line="22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we intend to rely on third parties to produce commercial supplies of any other approved product candidate.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7" w:lineRule="exact"/>
        <w:rPr>
          <w:rFonts w:ascii="Times New Roman" w:cs="Times New Roman" w:eastAsia="Times New Roman" w:hAnsi="Times New Roman"/>
          <w:sz w:val="17"/>
          <w:szCs w:val="17"/>
          <w:color w:val="auto"/>
        </w:rPr>
      </w:pPr>
    </w:p>
    <w:p>
      <w:pPr>
        <w:ind w:left="720" w:right="2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and financial results, or result in the loss or exposure of confidential or sensitive Company information.</w:t>
      </w:r>
    </w:p>
    <w:p>
      <w:pPr>
        <w:spacing w:after="0" w:line="134"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increased scrutiny relating to environmental, social and governance matters.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89" w:lineRule="exact"/>
        <w:rPr>
          <w:sz w:val="20"/>
          <w:szCs w:val="20"/>
          <w:color w:val="auto"/>
        </w:rPr>
      </w:pPr>
    </w:p>
    <w:p>
      <w:pPr>
        <w:ind w:left="60" w:right="139" w:firstLine="324"/>
        <w:spacing w:after="0" w:line="216" w:lineRule="auto"/>
        <w:rPr>
          <w:sz w:val="20"/>
          <w:szCs w:val="20"/>
          <w:color w:val="auto"/>
        </w:rPr>
      </w:pPr>
      <w:r>
        <w:rPr>
          <w:rFonts w:ascii="Times New Roman" w:cs="Times New Roman" w:eastAsia="Times New Roman" w:hAnsi="Times New Roman"/>
          <w:sz w:val="18"/>
          <w:szCs w:val="18"/>
          <w:color w:val="auto"/>
        </w:rPr>
        <w:t>This Quarterly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65,221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72,143</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80" w:type="dxa"/>
            <w:vAlign w:val="bottom"/>
            <w:tcBorders>
              <w:bottom w:val="single" w:sz="8" w:color="CCEEFF"/>
            </w:tcBorders>
          </w:tcPr>
          <w:p>
            <w:pPr>
              <w:spacing w:after="0"/>
              <w:rPr>
                <w:sz w:val="21"/>
                <w:szCs w:val="21"/>
                <w:color w:val="auto"/>
              </w:rPr>
            </w:pPr>
          </w:p>
        </w:tc>
        <w:tc>
          <w:tcPr>
            <w:tcW w:w="6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13,654</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8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27,267</w:t>
            </w: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100,598</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154,686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130,210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 w:type="dxa"/>
            <w:vAlign w:val="bottom"/>
            <w:shd w:val="clear" w:color="auto" w:fill="CCEEFF"/>
          </w:tcPr>
          <w:p>
            <w:pPr>
              <w:spacing w:after="0"/>
              <w:rPr>
                <w:sz w:val="17"/>
                <w:szCs w:val="17"/>
                <w:color w:val="auto"/>
              </w:rPr>
            </w:pPr>
          </w:p>
        </w:tc>
        <w:tc>
          <w:tcPr>
            <w:tcW w:w="66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as of March 31, 2024 and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as of March 31, 2024 and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 33,632 and 29,930 shares issued and outstanding as of</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534,060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(617,389)</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(590,598)</w:t>
            </w:r>
          </w:p>
        </w:tc>
        <w:tc>
          <w:tcPr>
            <w:tcW w:w="0" w:type="dxa"/>
            <w:vAlign w:val="bottom"/>
          </w:tcPr>
          <w:p>
            <w:pPr>
              <w:spacing w:after="0"/>
              <w:rPr>
                <w:sz w:val="1"/>
                <w:szCs w:val="1"/>
                <w:color w:val="auto"/>
              </w:rPr>
            </w:pPr>
          </w:p>
        </w:tc>
      </w:tr>
      <w:tr>
        <w:trPr>
          <w:trHeight w:val="209"/>
        </w:trPr>
        <w:tc>
          <w:tcPr>
            <w:tcW w:w="8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ind w:left="44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 w:type="dxa"/>
            <w:vAlign w:val="bottom"/>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59"/>
          </w:cols>
          <w:pgMar w:left="140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25"/>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7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5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24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76,775</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(52,796)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(590,598)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initial public offering costs in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51" w:lineRule="exact"/>
        <w:rPr>
          <w:sz w:val="20"/>
          <w:szCs w:val="20"/>
          <w:color w:val="auto"/>
        </w:rPr>
      </w:pPr>
    </w:p>
    <w:p>
      <w:pPr>
        <w:jc w:val="both"/>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condensed consolidated financial statements, unless otherwise specified or the context otherwise requires, the terms “BioXcel LLC” refers to the Company’s former parent and current significant stockholder,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31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jc w:val="both"/>
        <w:ind w:left="60" w:right="23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2024, the results of its operations for the three months ended March 31, 2024 and 2023 and its cash flows for the three months ended March 31, 2024 and 2023. The results for the three months ended March 31, 2024 are not necessarily indicative of results to be expected for the year ending December 31, 2024, any other interim periods or any future year or period. The accompanying unaudited interim condensed consolidated financial statements of the Company should be read in conjunction with the audited financial statements and notes thereto included in the Company’s Annual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on Form 10-K for the year ended December 31, 2023 filed with the Securities and Exchange Commission on March 22, 2024.</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2024, the Company had cash and cash equivalents of $74,141 and an accumulated deficit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$617,389. BTI has incurred substantial net losses and negative cash flows from operating activities in nearly every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since inception and expects this trend to continue for the foreseeable future. The Company recognized net losses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$26,791 and $52,796 for the three months ended March 31, 2024 and 2023, respectively, and had net cash used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activities of $17,706 and $52,353 for the three months ended March 31, 2024 and 2023, respectively.</w:t>
      </w:r>
    </w:p>
    <w:p>
      <w:pPr>
        <w:spacing w:after="0" w:line="166" w:lineRule="exact"/>
        <w:rPr>
          <w:sz w:val="20"/>
          <w:szCs w:val="20"/>
          <w:color w:val="auto"/>
        </w:rPr>
      </w:pPr>
    </w:p>
    <w:p>
      <w:pPr>
        <w:jc w:val="both"/>
        <w:ind w:left="60" w:right="379" w:firstLine="324"/>
        <w:spacing w:after="0" w:line="27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18" w:lineRule="exact"/>
        <w:rPr>
          <w:sz w:val="20"/>
          <w:szCs w:val="20"/>
          <w:color w:val="auto"/>
        </w:rPr>
      </w:pPr>
    </w:p>
    <w:p>
      <w:pPr>
        <w:ind w:left="60" w:right="179" w:firstLine="324"/>
        <w:spacing w:after="0" w:line="284" w:lineRule="auto"/>
        <w:rPr>
          <w:sz w:val="20"/>
          <w:szCs w:val="20"/>
          <w:color w:val="auto"/>
        </w:rPr>
      </w:pPr>
      <w:r>
        <w:rPr>
          <w:rFonts w:ascii="Times New Roman" w:cs="Times New Roman" w:eastAsia="Times New Roman" w:hAnsi="Times New Roman"/>
          <w:sz w:val="17"/>
          <w:szCs w:val="17"/>
          <w:color w:val="auto"/>
        </w:rPr>
        <w:t xml:space="preserve">The Company’s history of significant losses, its negative cash flows from operations, potential near-term, increased covenant-driven payments under its Credit Agreement (as defined in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97" w:lineRule="exact"/>
        <w:rPr>
          <w:sz w:val="20"/>
          <w:szCs w:val="20"/>
          <w:color w:val="auto"/>
        </w:rPr>
      </w:pPr>
    </w:p>
    <w:p>
      <w:pPr>
        <w:ind w:left="60" w:right="239" w:firstLine="324"/>
        <w:spacing w:after="0" w:line="264" w:lineRule="auto"/>
        <w:rPr>
          <w:sz w:val="20"/>
          <w:szCs w:val="20"/>
          <w:color w:val="auto"/>
        </w:rPr>
      </w:pPr>
      <w:r>
        <w:rPr>
          <w:rFonts w:ascii="Times New Roman" w:cs="Times New Roman" w:eastAsia="Times New Roman" w:hAnsi="Times New Roman"/>
          <w:sz w:val="18"/>
          <w:szCs w:val="18"/>
          <w:color w:val="auto"/>
        </w:rPr>
        <w:t xml:space="preserve">This going concern evaluation takes into consideration the potential mitigating effect of management’s Reprioritization (as defined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will not mitigate the entity’s ability to continue as a going concern within one year after the date that the financial statements are issued.</w:t>
      </w:r>
    </w:p>
    <w:p>
      <w:pPr>
        <w:spacing w:after="0" w:line="114"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or other potential sources of debt or equity capital.</w:t>
      </w:r>
    </w:p>
    <w:p>
      <w:pPr>
        <w:spacing w:after="0" w:line="156"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08"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47"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8"/>
          <w:szCs w:val="18"/>
          <w:color w:val="auto"/>
        </w:rPr>
        <w:t>If the Company is unable to raise capital when needed or on acceptable terms, refinance or restructure its existing Credit Agreement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accrued expenses and income taxes. Although these estimates are based on the Company’s knowledge of current events and actions it may undertake in the future, actual results may ultimately materially differ from these estimates.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March 31, 2024 and December 31, 2023,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1" w:lineRule="exact"/>
        <w:rPr>
          <w:sz w:val="20"/>
          <w:szCs w:val="20"/>
          <w:color w:val="auto"/>
        </w:rPr>
      </w:pPr>
    </w:p>
    <w:p>
      <w:pPr>
        <w:ind w:left="60" w:right="219" w:firstLine="324"/>
        <w:spacing w:after="0" w:line="257" w:lineRule="auto"/>
        <w:rPr>
          <w:sz w:val="20"/>
          <w:szCs w:val="20"/>
          <w:color w:val="auto"/>
        </w:rPr>
      </w:pPr>
      <w:r>
        <w:rPr>
          <w:rFonts w:ascii="Times New Roman" w:cs="Times New Roman" w:eastAsia="Times New Roman" w:hAnsi="Times New Roman"/>
          <w:sz w:val="17"/>
          <w:szCs w:val="17"/>
          <w:color w:val="auto"/>
        </w:rPr>
        <w:t>Accounts receivable arise from sales of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March 31, 2024, the Company determined that an allowance for credit losses was not required.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94" w:lineRule="exact"/>
        <w:rPr>
          <w:sz w:val="20"/>
          <w:szCs w:val="20"/>
          <w:color w:val="auto"/>
        </w:rPr>
      </w:pPr>
    </w:p>
    <w:p>
      <w:pPr>
        <w:ind w:left="60" w:right="219" w:firstLine="324"/>
        <w:spacing w:after="0" w:line="235" w:lineRule="auto"/>
        <w:rPr>
          <w:sz w:val="20"/>
          <w:szCs w:val="20"/>
          <w:color w:val="auto"/>
        </w:rPr>
      </w:pPr>
      <w:r>
        <w:rPr>
          <w:rFonts w:ascii="Times New Roman" w:cs="Times New Roman" w:eastAsia="Times New Roman" w:hAnsi="Times New Roman"/>
          <w:sz w:val="18"/>
          <w:szCs w:val="18"/>
          <w:color w:val="auto"/>
        </w:rPr>
        <w:t>The Company sells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through a drop-ship program under which orders from hospitals and similar health care institutions are processed through wholesalers, but shipments of the product are sent directly to the individual hospitals and similar health care institutions. BTI also contracts directly with certain hospitals, and intermediaries such as group purchasing organizations (“GPOs”). All trade accounts receivables are due from the distributor that fulfills orders on behalf of the Company.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8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of inventory is determined on a first-in, first-out basis.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Condensed Consolidated Statements of Operations.</w:t>
      </w:r>
    </w:p>
    <w:p>
      <w:pPr>
        <w:spacing w:after="0" w:line="153"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are recorded within Cost of goods sold in the Condensed Consolidated Statements of Operations. The determination of whether inventory costs will be realizable requires estimates by management. If actual market conditions are less favorable than projected, write-downs of inventory may be required.</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Initial Public Offering Costs</w:t>
      </w:r>
    </w:p>
    <w:p>
      <w:pPr>
        <w:spacing w:after="0" w:line="189" w:lineRule="exact"/>
        <w:rPr>
          <w:sz w:val="20"/>
          <w:szCs w:val="20"/>
          <w:color w:val="auto"/>
        </w:rPr>
      </w:pPr>
    </w:p>
    <w:p>
      <w:pPr>
        <w:ind w:left="60" w:right="599" w:firstLine="324"/>
        <w:spacing w:after="0" w:line="281" w:lineRule="auto"/>
        <w:rPr>
          <w:sz w:val="20"/>
          <w:szCs w:val="20"/>
          <w:color w:val="auto"/>
        </w:rPr>
      </w:pPr>
      <w:r>
        <w:rPr>
          <w:rFonts w:ascii="Times New Roman" w:cs="Times New Roman" w:eastAsia="Times New Roman" w:hAnsi="Times New Roman"/>
          <w:sz w:val="17"/>
          <w:szCs w:val="17"/>
          <w:color w:val="auto"/>
        </w:rPr>
        <w:t>Deferred initial public offering costs of $2,570 consisted of legal, accounting, and other costs that were directly related to the Company’s proposed initial public offering of OnkosXcel. These costs were charged to the Condensed Consolidated Statements of Operations during the year ended December 31, 2023 as the initial public offering was delayed for an extended period of time. The costs were recorded as Selling, general and administrative expenses.</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8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 shorter of their remaining lease term or their estimated useful life on a straight-line basis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life of improvement or lease term</w:t>
            </w:r>
          </w:p>
        </w:tc>
      </w:tr>
    </w:tbl>
    <w:p>
      <w:pPr>
        <w:spacing w:after="0" w:line="19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Other (income) expense, net in the Condensed Consolidated Statements of Operations.</w:t>
      </w:r>
    </w:p>
    <w:p>
      <w:pPr>
        <w:spacing w:after="0" w:line="153"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Other current liabilities, and the Long-term portion of operating lease liabilities in the Condensed Consolidated Balance Sheets.</w:t>
      </w:r>
    </w:p>
    <w:p>
      <w:pPr>
        <w:spacing w:after="0" w:line="14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 borrowing rate based on the information available at commencement date in determining the present value of lease 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Debt and Detachable Warrants</w:t>
      </w:r>
    </w:p>
    <w:p>
      <w:pPr>
        <w:spacing w:after="0" w:line="20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then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Liabilities</w:t>
      </w:r>
      <w:r>
        <w:rPr>
          <w:rFonts w:ascii="Times New Roman" w:cs="Times New Roman" w:eastAsia="Times New Roman" w:hAnsi="Times New Roman"/>
          <w:sz w:val="18"/>
          <w:szCs w:val="18"/>
          <w:color w:val="auto"/>
        </w:rPr>
        <w:t>” section of this Note and as a debt discount. The Company accounts for debt as liabilities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spacing w:after="0" w:line="15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202"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Derivative assets and liabilities are recorded on the Company`s Condensed Consolidated Balance Sheets at their fair value on the date of issuance and are revalued on each balance sheet date until such instruments are settled or expire, with changes in the fair value between reporting periods recorded as other income or expense within Other (income) expense, net in the Condensed Consolidated Statements of Operations.</w:t>
      </w:r>
    </w:p>
    <w:p>
      <w:pPr>
        <w:spacing w:after="0" w:line="13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for speculative purposes or to hedge exposures to cash flow or market risks. Certain financing facilities entered into by the Company include freestanding financial instruments and/or embedded features that require separate accounting as derivative assets and/or liabilities.</w:t>
      </w:r>
    </w:p>
    <w:p>
      <w:pPr>
        <w:spacing w:after="0" w:line="135"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 registered direct offering completed in March 2024, the Company issued accompanying warrants to purchase 8,620 shares of its common stock that are classified as derivative liabilities, and were measured at fair value upon issuance, with subsequent changes in fair value reported in the Condensed Consolidated Statement of Operations each reporting period.</w:t>
      </w:r>
    </w:p>
    <w:p>
      <w:pPr>
        <w:spacing w:after="0" w:line="153"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revenues consist of product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0" w:right="279" w:firstLine="324"/>
        <w:spacing w:after="0" w:line="270" w:lineRule="auto"/>
        <w:rPr>
          <w:sz w:val="20"/>
          <w:szCs w:val="20"/>
          <w:color w:val="auto"/>
        </w:rPr>
      </w:pPr>
      <w:r>
        <w:rPr>
          <w:rFonts w:ascii="Times New Roman" w:cs="Times New Roman" w:eastAsia="Times New Roman" w:hAnsi="Times New Roman"/>
          <w:sz w:val="17"/>
          <w:szCs w:val="17"/>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 consideration, if any;</w:t>
      </w:r>
    </w:p>
    <w:p>
      <w:pPr>
        <w:spacing w:after="0" w:line="3" w:lineRule="exact"/>
        <w:rPr>
          <w:sz w:val="20"/>
          <w:szCs w:val="20"/>
          <w:color w:val="auto"/>
        </w:rPr>
      </w:pPr>
    </w:p>
    <w:p>
      <w:pPr>
        <w:ind w:left="60" w:right="259" w:hanging="10"/>
        <w:spacing w:after="0" w:line="253" w:lineRule="auto"/>
        <w:tabs>
          <w:tab w:leader="none" w:pos="3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exercise of a material right may be accounted for as a contract modification or as a continuation of the contract for accounting purposes.</w:t>
      </w:r>
    </w:p>
    <w:p>
      <w:pPr>
        <w:spacing w:after="0" w:line="135"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31" w:lineRule="exact"/>
        <w:rPr>
          <w:sz w:val="20"/>
          <w:szCs w:val="20"/>
          <w:color w:val="auto"/>
        </w:rPr>
      </w:pPr>
    </w:p>
    <w:p>
      <w:pPr>
        <w:ind w:left="60" w:right="139" w:firstLine="324"/>
        <w:spacing w:after="0" w:line="226" w:lineRule="auto"/>
        <w:rPr>
          <w:sz w:val="20"/>
          <w:szCs w:val="20"/>
          <w:color w:val="auto"/>
        </w:rPr>
      </w:pPr>
      <w:r>
        <w:rPr>
          <w:rFonts w:ascii="Times New Roman" w:cs="Times New Roman" w:eastAsia="Times New Roman" w:hAnsi="Times New Roman"/>
          <w:sz w:val="18"/>
          <w:szCs w:val="18"/>
          <w:color w:val="auto"/>
        </w:rPr>
        <w:t>BTI distributes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through arrangements with a distributor, wholesalers, and GPOs. The distributor and wholesalers help process and fulfill orders from hospitals on the Company’s behalf. The Company believes the hospitals are its customers.</w:t>
      </w:r>
    </w:p>
    <w:p>
      <w:pPr>
        <w:spacing w:after="0" w:line="174"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condensed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Condensed Consolidated Statements of Operations. Under the Company’s current product sales arrangements, BTI does not have contract assets (unbilled receivables), as it generally invoices its customer at the time of revenue recognition.</w:t>
      </w:r>
    </w:p>
    <w:p>
      <w:pPr>
        <w:spacing w:after="0" w:line="155" w:lineRule="exact"/>
        <w:rPr>
          <w:sz w:val="20"/>
          <w:szCs w:val="20"/>
          <w:color w:val="auto"/>
        </w:rPr>
      </w:pPr>
    </w:p>
    <w:p>
      <w:pPr>
        <w:ind w:left="60" w:right="239" w:firstLine="324"/>
        <w:spacing w:after="0" w:line="237" w:lineRule="auto"/>
        <w:rPr>
          <w:sz w:val="20"/>
          <w:szCs w:val="20"/>
          <w:color w:val="auto"/>
        </w:rPr>
      </w:pPr>
      <w:r>
        <w:rPr>
          <w:rFonts w:ascii="Times New Roman" w:cs="Times New Roman" w:eastAsia="Times New Roman" w:hAnsi="Times New Roman"/>
          <w:sz w:val="18"/>
          <w:szCs w:val="18"/>
          <w:color w:val="auto"/>
        </w:rPr>
        <w:t>BTI sells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at wholesale acquisition cost less any agreed upon discounts,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Trade Discounts and Allowances</w:t>
      </w:r>
    </w:p>
    <w:p>
      <w:pPr>
        <w:spacing w:after="0" w:line="20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Government Rebates</w:t>
      </w:r>
    </w:p>
    <w:p>
      <w:pPr>
        <w:spacing w:after="0" w:line="181" w:lineRule="exact"/>
        <w:rPr>
          <w:sz w:val="20"/>
          <w:szCs w:val="20"/>
          <w:color w:val="auto"/>
        </w:rPr>
      </w:pPr>
    </w:p>
    <w:p>
      <w:pPr>
        <w:ind w:left="60" w:right="139" w:firstLine="324"/>
        <w:spacing w:after="0" w:line="232"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82" w:lineRule="auto"/>
        <w:rPr>
          <w:sz w:val="20"/>
          <w:szCs w:val="20"/>
          <w:color w:val="auto"/>
        </w:rPr>
      </w:pPr>
      <w:r>
        <w:rPr>
          <w:rFonts w:ascii="Times New Roman" w:cs="Times New Roman" w:eastAsia="Times New Roman" w:hAnsi="Times New Roman"/>
          <w:sz w:val="18"/>
          <w:szCs w:val="18"/>
          <w:color w:val="auto"/>
        </w:rPr>
        <w:t>revenue and accounts receivable at the time it recognizes the related revenue; other government rebates are recognized as an accrued liability at the time BTI recognizes the related revenue.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Chargebacks</w:t>
      </w:r>
    </w:p>
    <w:p>
      <w:pPr>
        <w:spacing w:after="0" w:line="18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202" w:lineRule="exact"/>
        <w:rPr>
          <w:sz w:val="20"/>
          <w:szCs w:val="20"/>
          <w:color w:val="auto"/>
        </w:rPr>
      </w:pPr>
    </w:p>
    <w:p>
      <w:pPr>
        <w:ind w:left="60" w:right="459" w:firstLine="324"/>
        <w:spacing w:after="0" w:line="277" w:lineRule="auto"/>
        <w:rPr>
          <w:sz w:val="20"/>
          <w:szCs w:val="20"/>
          <w:color w:val="auto"/>
        </w:rPr>
      </w:pPr>
      <w:r>
        <w:rPr>
          <w:rFonts w:ascii="Times New Roman" w:cs="Times New Roman" w:eastAsia="Times New Roman" w:hAnsi="Times New Roman"/>
          <w:sz w:val="17"/>
          <w:szCs w:val="17"/>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BTI classifies all fees paid to the distributor, other than those discussed above and those related to warehouse operations, as Selling, general and administrative expenses on its Condensed Consolidated Statements of Operations. Fees paid to the distributor for warehouse operations are classified as Cost of goods sold on BTI’s Condensed Consolidated Statements of Operations.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0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revenues during the respective period. Cost of goods sold also includes costs related to excess or obsolete inventory, as well as costs related to warehouse operations paid to distributors.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based on estimated fair value for all share-based awards made to employees, non-employee service providers, and directors, including stock options, BTI restricted stock units (“BTI RSUs”), OnkosXcel profit sharing units (“PSUs”), OnkosXcel restricted stock units (“OnkosXcel RSUs”) and BTI performance stock units (“Performance Units”).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6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stock-based awards are valued at fair value on the date of grant and that fair value is recognized as an expense in the Condensed Consolidated Statements of Operations over the requisite service period using the accelerated attribution method. The estimated value of the BTI RSUs and Performance Units is based on the Company’s closing stock price on the grant date. The estimated fair value of stock options, OnkosXcel RSUs and PSUs was determined using the Black-Scholes pricing model on the date of grant. For awards subject to performance-based vesting conditions, the Company recognizes stock-based compensation expense when the achievement of the performance condition becomes probable.</w:t>
      </w:r>
    </w:p>
    <w:p>
      <w:pPr>
        <w:spacing w:after="0" w:line="14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wages, benefits, non-cash stock-based compensation, facilities, supplies, external services, clinical study, manufacturing costs related to clinical trials and other expenses that 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58" w:lineRule="auto"/>
        <w:rPr>
          <w:sz w:val="20"/>
          <w:szCs w:val="20"/>
          <w:color w:val="auto"/>
        </w:rPr>
      </w:pPr>
      <w:r>
        <w:rPr>
          <w:rFonts w:ascii="Times New Roman" w:cs="Times New Roman" w:eastAsia="Times New Roman" w:hAnsi="Times New Roman"/>
          <w:sz w:val="18"/>
          <w:szCs w:val="18"/>
          <w:color w:val="auto"/>
        </w:rPr>
        <w:t>directly related to the Company’s research and development activities.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Such estimates are subject to change as additional information becomes available. The Company expenses research and development costs as incurred.</w:t>
      </w:r>
    </w:p>
    <w:p>
      <w:pPr>
        <w:spacing w:after="0" w:line="15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Most of the Company’s service providers invoice BTI monthly in arrears for services performed. The Company estimates its accrued expenses as of each balance sheet date in the condensed consolidated financial statements based on facts and circumstances known to management at that time. BTI management periodically confirms the accuracy of the Company’s estimates with the service providers and makes adjustments if necessary.</w:t>
      </w:r>
    </w:p>
    <w:p>
      <w:pPr>
        <w:spacing w:after="0" w:line="139" w:lineRule="exact"/>
        <w:rPr>
          <w:sz w:val="20"/>
          <w:szCs w:val="20"/>
          <w:color w:val="auto"/>
        </w:rPr>
      </w:pPr>
    </w:p>
    <w:p>
      <w:pPr>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0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in Selling, general and administrative expenses in the Condensed Consolidated Statements of Operations and are expensed as incurred since recoverability of such expenditures is uncertain.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61" w:lineRule="exact"/>
        <w:rPr>
          <w:sz w:val="20"/>
          <w:szCs w:val="20"/>
          <w:color w:val="auto"/>
        </w:rPr>
      </w:pPr>
    </w:p>
    <w:p>
      <w:pPr>
        <w:ind w:left="720" w:right="3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 gives the highest priority to Level 1 inputs.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46" w:lineRule="exact"/>
        <w:rPr>
          <w:rFonts w:ascii="Times New Roman" w:cs="Times New Roman" w:eastAsia="Times New Roman" w:hAnsi="Times New Roman"/>
          <w:sz w:val="18"/>
          <w:szCs w:val="18"/>
          <w:color w:val="auto"/>
        </w:rPr>
      </w:pPr>
    </w:p>
    <w:p>
      <w:pPr>
        <w:jc w:val="both"/>
        <w:ind w:left="720" w:right="29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49"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as well as considering counterparty credit risk in its assessment of fair value.</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8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Earnings (loss) per share (“EPS”) is calculated by dividing net income or loss attributable to common stockholders by the weighted average number of shares of common stock that were outstanding. Diluted EPS is calculated by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8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60" w:right="279" w:firstLine="324"/>
        <w:spacing w:after="0" w:line="272" w:lineRule="auto"/>
        <w:rPr>
          <w:sz w:val="20"/>
          <w:szCs w:val="20"/>
          <w:color w:val="auto"/>
        </w:rPr>
      </w:pPr>
      <w:r>
        <w:rPr>
          <w:rFonts w:ascii="Times New Roman" w:cs="Times New Roman" w:eastAsia="Times New Roman" w:hAnsi="Times New Roman"/>
          <w:sz w:val="17"/>
          <w:szCs w:val="17"/>
          <w:color w:val="auto"/>
        </w:rPr>
        <w:t>In June 2016, the Financial Accounting Standards Board (“FASB”) issued Accounting Standards Update (“ASU”) No. 2016-13, Financial Instruments-Credit Losses (Topic 326): Measurement of Credit Losses on Financial Instruments, and subsequent amendments to the initial guidance (collectively, “Topic 326”). Topic 326 requires measurement and recognition of expected credit losses for financial assets held. Topic 326 was to be effective for reporting periods beginning after December 15, 2019, with early adoption permitted. In November 2019, the FASB issued ASU No. 2019-10, Financial Instruments - Credit Losses (Topic 326), Derivatives and Hedging (Topic 815), and Leases (Topic 842) - Effective Dates, which deferred the effective dates of Topic 326 for the Company, until fiscal year 2023. The Company adopted Topic 326 in 2023 and it did not have a material impact on its condensed consolidated financial statements.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02"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condensed consolidated financial statements.</w:t>
      </w:r>
    </w:p>
    <w:p>
      <w:pPr>
        <w:spacing w:after="0" w:line="13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89" w:lineRule="exact"/>
        <w:rPr>
          <w:sz w:val="20"/>
          <w:szCs w:val="20"/>
          <w:color w:val="auto"/>
        </w:rPr>
      </w:pPr>
    </w:p>
    <w:p>
      <w:pPr>
        <w:ind w:left="60" w:right="259" w:firstLine="324"/>
        <w:spacing w:after="0" w:line="247" w:lineRule="auto"/>
        <w:rPr>
          <w:sz w:val="20"/>
          <w:szCs w:val="20"/>
          <w:color w:val="auto"/>
        </w:rPr>
      </w:pPr>
      <w:r>
        <w:rPr>
          <w:rFonts w:ascii="Times New Roman" w:cs="Times New Roman" w:eastAsia="Times New Roman" w:hAnsi="Times New Roman"/>
          <w:sz w:val="18"/>
          <w:szCs w:val="18"/>
          <w:color w:val="auto"/>
        </w:rPr>
        <w:t>On August 8, 2023, the Company’s Board of Directors approved a broad-based strategic reprioritization (the “Reprioritization”). The Company took actions to reduce certain operational and workforce expenses that were no longer deemed core to ongoing operations in order to extend its cash runway and drive innovation and growth in high potential clinical development and value creating opportunities. These actions included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42"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and recorded total restructuring costs of $4,163 for the year ended December 31, 2023. These costs consisted of severance and benefit costs of $4,063 and contract termination costs of $100. The Company paid $3,998 of severance and benefit costs and $100 of contract termination costs in the year ended December 31, 2023. The Reprioritization is substantially complete as of December 31, 2023, and the remaining costs were paid during the first quarter of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of $45 for the three months ended March 31, 2024. No inventory write-downs were recorded for the three months ended March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was $78 and $80 for the three months ended March 31, 2024 and 2023,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5"/>
                <w:szCs w:val="15"/>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202"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13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 per month from March 13, 2023 to December 31, 2024 in exchange for this option. We agreed to negotiate any such collaborative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w:t>
      </w:r>
    </w:p>
    <w:p>
      <w:pPr>
        <w:spacing w:after="0" w:line="15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months ended March 31, 2024 and 2023, respectively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r>
      <w:tr>
        <w:trPr>
          <w:trHeight w:val="223"/>
        </w:trPr>
        <w:tc>
          <w:tcPr>
            <w:tcW w:w="5900" w:type="dxa"/>
            <w:vAlign w:val="bottom"/>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4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5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there were no outstanding service charges related to the Services Agreement included in Due to related parties in the Company’s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5"/>
                <w:szCs w:val="15"/>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09"/>
        </w:trPr>
        <w:tc>
          <w:tcPr>
            <w:tcW w:w="5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42"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As of December 31, 2023, $100,000 in commitments under the Credit Agreement remains unfunded, and Oaktree has an Equity Investment Right (as defined below) to purchase up to $5,000 of Common Stock from the Company. The blended effective interest rate on the Tranches A-1 and A-2 as of March 31, 2024 was approximately 13.9%.</w:t>
      </w:r>
    </w:p>
    <w:p>
      <w:pPr>
        <w:spacing w:after="0" w:line="168" w:lineRule="exact"/>
        <w:rPr>
          <w:sz w:val="20"/>
          <w:szCs w:val="20"/>
          <w:color w:val="auto"/>
        </w:rPr>
      </w:pPr>
    </w:p>
    <w:p>
      <w:pPr>
        <w:ind w:left="60" w:right="139" w:firstLine="324"/>
        <w:spacing w:after="0" w:line="273" w:lineRule="auto"/>
        <w:rPr>
          <w:sz w:val="20"/>
          <w:szCs w:val="20"/>
          <w:color w:val="auto"/>
        </w:rPr>
      </w:pPr>
      <w:r>
        <w:rPr>
          <w:rFonts w:ascii="Times New Roman" w:cs="Times New Roman" w:eastAsia="Times New Roman" w:hAnsi="Times New Roman"/>
          <w:sz w:val="17"/>
          <w:szCs w:val="17"/>
          <w:color w:val="auto"/>
        </w:rPr>
        <w:t>The remaining tranches may be borrowed at the Company’s option prior to December 31, 2024, subject to satisfaction of certain conditions, including regulatory and financial milestones. Tranche B of the Credit Agreement is $20,000 and is available upon satisfaction of certain conditions and financial milestones. Tranche C of the Credit Agreement is $30,000 and is available upon satisfaction of certain conditions, including receipt of certain regulatory and financial milestones.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w:t>
      </w:r>
    </w:p>
    <w:p>
      <w:pPr>
        <w:spacing w:after="0" w:line="13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5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60" w:lineRule="exact"/>
        <w:rPr>
          <w:sz w:val="20"/>
          <w:szCs w:val="20"/>
          <w:color w:val="auto"/>
        </w:rPr>
      </w:pPr>
    </w:p>
    <w:p>
      <w:pPr>
        <w:ind w:left="60" w:right="459" w:firstLine="324"/>
        <w:spacing w:after="0" w:line="312"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including, among other things, restrictions on indebtedness, liens, investments, mergers, dispositions,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7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4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5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common stock, warrants and/or pre-funded warrants on or before February 20, 2024. The Company did not meet this condition and therefore the Third Amendment did not become effective.</w:t>
      </w:r>
    </w:p>
    <w:p>
      <w:pPr>
        <w:spacing w:after="0" w:line="16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7"/>
          <w:szCs w:val="17"/>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w:t>
      </w:r>
    </w:p>
    <w:p>
      <w:pPr>
        <w:spacing w:after="0" w:line="2" w:lineRule="exact"/>
        <w:rPr>
          <w:sz w:val="20"/>
          <w:szCs w:val="20"/>
          <w:color w:val="auto"/>
        </w:rPr>
      </w:pPr>
    </w:p>
    <w:p>
      <w:pPr>
        <w:ind w:left="60" w:right="219" w:hanging="10"/>
        <w:spacing w:after="0" w:line="255"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until May 15, 2024. For the avoidance of doubt, failure to perform clause (ii) of the preceding sentence would constitute an immediate event of default under the Credit Agreement without any cure or grace period.</w:t>
      </w:r>
    </w:p>
    <w:p>
      <w:pPr>
        <w:spacing w:after="0" w:line="186"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we have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 the April 15, 2024 covenant requirement of the Fourth Amendment.</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Interest Financing Agreement</w:t>
      </w:r>
    </w:p>
    <w:p>
      <w:pPr>
        <w:spacing w:after="0" w:line="202" w:lineRule="exact"/>
        <w:rPr>
          <w:sz w:val="20"/>
          <w:szCs w:val="20"/>
          <w:color w:val="auto"/>
        </w:rPr>
      </w:pPr>
    </w:p>
    <w:p>
      <w:pPr>
        <w:ind w:left="60" w:right="279" w:firstLine="324"/>
        <w:spacing w:after="0" w:line="236" w:lineRule="auto"/>
        <w:rPr>
          <w:sz w:val="20"/>
          <w:szCs w:val="20"/>
          <w:color w:val="auto"/>
        </w:rPr>
      </w:pPr>
      <w:r>
        <w:rPr>
          <w:rFonts w:ascii="Times New Roman" w:cs="Times New Roman" w:eastAsia="Times New Roman" w:hAnsi="Times New Roman"/>
          <w:sz w:val="18"/>
          <w:szCs w:val="18"/>
          <w:color w:val="auto"/>
        </w:rPr>
        <w:t>As noted, the RIFA was terminated when the Company entered into the Second Amendment, which amended the Credit Agreement (as amended by the First Amendment). The $30,000 Tranche A previously provided to the Company under the RIFA was converted to the Tranche A-2 Term Loan. Prior to termination, the RIFA provided up to $120,000 in potential financing in exchange for a capped revenue interest on net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other future BXCL501 products, if any, that received regulatory approval for sale. The initial Tranche A of $30,000 was funded on July 8, 2022. The effective interest rate on the RIFA as of December 31, 2022, was approximately 14%.</w:t>
      </w:r>
    </w:p>
    <w:p>
      <w:pPr>
        <w:spacing w:after="0" w:line="160"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RIFA, the Purchasers were to receive tiered revenue interest payments on U.S. net sales of IGALMI™, and other future BXCL501 products, if any, that receive regulatory approval for sale, equal to a royalty ranging from 0.375% to 7.750% of net sales of IGALMI™, and other future BXCL501 products, if any, approved for sale in the U.S., subject to a hard cap equal to 1.75x the total amount funded. The Company would also have been required to make certain additional payments to the Purchasers from time to time to ensure that the aggregate amount of payments received by the Purchasers under the RIFA were at least equal to certain agreed upon minimum levels as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certain specified dates, subject to terms and conditions set forth in the RIFA. Revenue interest payments due under the RIFA were payable quarterly based on net sales.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278 shares of the Company’s common stock at an exercise price of $20.04 per share (the “Original Warrants”). Pursuant to the amendment and restatement of the Original Warrants, dated December 5, 2023 (the “Amended and Restated Original Warrants”), the exercise price of the Original Warrants has been reduced to $3.6452 per share. In addition, the Company granted new warrants to the Lenders to purchase up to 70 shares of the Company’s common stock (the “2023 Warrant Shares”) at an exercise price of $3.6452 per share (the “2023 Warrants” and together with the Amended and Restated Original Warrants, the “Warrants”). The Amended and Restated Original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BTI common stock issuable under the Warrants (including the Original Warrants and the 2023 Warrants) and Lenders’ Equity Investment Right was 5,852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5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6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100 shares of its common stock (the “2024 Warrant Shares”) at an exercise price of $3.0723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Maturities of debt, excluding the impacts of any mandatory payments pursuant to the Revenue Covenant or to meet minimum royalty levels, are expected to be as follows: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9"/>
        </w:trPr>
        <w:tc>
          <w:tcPr>
            <w:tcW w:w="6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8"/>
                <w:szCs w:val="18"/>
                <w:color w:val="auto"/>
              </w:rPr>
            </w:pP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8"/>
                <w:szCs w:val="18"/>
                <w:color w:val="auto"/>
              </w:rPr>
            </w:pP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28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20"/>
                <w:szCs w:val="20"/>
                <w:color w:val="auto"/>
              </w:rPr>
            </w:pP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2"/>
        </w:trPr>
        <w:tc>
          <w:tcPr>
            <w:tcW w:w="6200" w:type="dxa"/>
            <w:vAlign w:val="bottom"/>
          </w:tcPr>
          <w:p>
            <w:pPr>
              <w:spacing w:after="0"/>
              <w:rPr>
                <w:sz w:val="24"/>
                <w:szCs w:val="24"/>
                <w:color w:val="auto"/>
              </w:rPr>
            </w:pPr>
          </w:p>
        </w:tc>
        <w:tc>
          <w:tcPr>
            <w:tcW w:w="264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62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196"/>
        </w:trPr>
        <w:tc>
          <w:tcPr>
            <w:tcW w:w="62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r>
      <w:tr>
        <w:trPr>
          <w:trHeight w:val="210"/>
        </w:trPr>
        <w:tc>
          <w:tcPr>
            <w:tcW w:w="6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3,034</w:t>
            </w: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r>
      <w:tr>
        <w:trPr>
          <w:trHeight w:val="209"/>
        </w:trPr>
        <w:tc>
          <w:tcPr>
            <w:tcW w:w="6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74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3,607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3,367</w:t>
            </w:r>
          </w:p>
        </w:tc>
      </w:tr>
      <w:tr>
        <w:trPr>
          <w:trHeight w:val="20"/>
        </w:trPr>
        <w:tc>
          <w:tcPr>
            <w:tcW w:w="6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left="60" w:right="219" w:firstLine="405"/>
        <w:spacing w:after="0" w:line="271" w:lineRule="auto"/>
        <w:rPr>
          <w:sz w:val="20"/>
          <w:szCs w:val="20"/>
          <w:color w:val="auto"/>
        </w:rPr>
      </w:pPr>
      <w:r>
        <w:rPr>
          <w:rFonts w:ascii="Times New Roman" w:cs="Times New Roman" w:eastAsia="Times New Roman" w:hAnsi="Times New Roman"/>
          <w:sz w:val="17"/>
          <w:szCs w:val="17"/>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w:t>
      </w:r>
    </w:p>
    <w:p>
      <w:pPr>
        <w:spacing w:after="0" w:line="171" w:lineRule="exact"/>
        <w:rPr>
          <w:sz w:val="20"/>
          <w:szCs w:val="20"/>
          <w:color w:val="auto"/>
        </w:rPr>
      </w:pPr>
    </w:p>
    <w:p>
      <w:pPr>
        <w:ind w:left="60" w:right="139" w:firstLine="401"/>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the Securities Purchase Agreement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Condensed Consolidated Balance Sheet as of March 31, 2024. The respective derivative liabilities were recorded at fair value on the date of issuance in the amount of $19,347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As of March 31, 2024, the fair value of the Accompanying Warrants was $19,405. The Company recorded a fair value adjustment resulting in an unrealized loss of $58 for the period ended March 31,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29" w:lineRule="exact"/>
        <w:rPr>
          <w:sz w:val="20"/>
          <w:szCs w:val="20"/>
          <w:color w:val="auto"/>
        </w:rPr>
      </w:pPr>
    </w:p>
    <w:p>
      <w:pPr>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For the year ended December 31, 2023, the Company sold 1,408 shares of its common stock for a gross amount of $27,032, incurred issuance costs of $811, and received net proceeds of $26,221. For the three months ended March 31, 2024, the Company sold shares of its common stock for a gross amount of $1,743, incurred issuance costs of $52, and received net proceeds of $1,691.</w:t>
      </w:r>
    </w:p>
    <w:p>
      <w:pPr>
        <w:spacing w:after="0" w:line="17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3,055 shares (the “Shares”) of common stock, par value $0.001 per share, and accompanying warrants (the “Accompanying Warrants”) to purchase up to 3,055 shares of common stock at a combined offering price of $2.901 per Share and Accompanying Warrant and pre-funded warrants (the “Pre-Funded Warrants”) to purchase up to 5,565 shares of common stock and Accompanying Warrants to purchase up to 5,565 shares of common stock, at a combined offering price of $2.900 per share underlying each Pre-Funded Warrant and Accompanying Warrant, which equals the offering price per Share and Accompanying Warrant less the $0.001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The Company intends to use the proceeds from the Offering, together with its existing cash and cash equivalents, to fund planned clinical trials of BXCL501, commercialization activities for IGALMI™ and for working capital and other general corporate purposes.</w:t>
      </w:r>
    </w:p>
    <w:p>
      <w:pPr>
        <w:spacing w:after="0" w:line="195"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in accordance with ASC 480, Distinguishing Liabilities from Equity and ASC 815, Derivatives and Hedging.</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$3.20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2024.</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and</w:t>
      </w:r>
    </w:p>
    <w:p>
      <w:pPr>
        <w:spacing w:after="0" w:line="2" w:lineRule="exact"/>
        <w:rPr>
          <w:sz w:val="20"/>
          <w:szCs w:val="20"/>
          <w:color w:val="auto"/>
        </w:rPr>
      </w:pPr>
    </w:p>
    <w:p>
      <w:pPr>
        <w:ind w:left="60" w:right="159" w:hanging="10"/>
        <w:spacing w:after="0" w:line="251" w:lineRule="auto"/>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1,197 shares and 1,126 shares on January 1, 2024 and 2023, respectively.</w:t>
      </w:r>
    </w:p>
    <w:p>
      <w:pPr>
        <w:spacing w:after="0" w:line="15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Plan have a term of ten years. The vesting schedule of all awards granted under the 2020 Plan is determined by the Board of Directors, which is generally four years.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2024, there were 2,001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00" w:type="dxa"/>
            <w:vAlign w:val="bottom"/>
          </w:tcPr>
          <w:p>
            <w:pPr>
              <w:spacing w:after="0"/>
              <w:rPr>
                <w:sz w:val="15"/>
                <w:szCs w:val="15"/>
                <w:color w:val="auto"/>
              </w:rPr>
            </w:pPr>
          </w:p>
        </w:tc>
        <w:tc>
          <w:tcPr>
            <w:tcW w:w="14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5 time-based RSUs which fully vest on the one-year anniversary of the grant date. The average grant date fair value per share for the RSUs was $2.52. The outstanding RSUs vest as follows; 5 RSUs vest 100% at the one-year anniversary of the grant date; 4 RSUs granted to a third-party consultant vest 50% on each of the first and second anniversaries of the grant date; the remaining 181 RSUs vest over four years, with 25% vesting at the one-year anniversary of the grant date and the balance vesting ratably over the remaining 12 quarters of the vesting period. The weighted average grant date fair value per share for the BTI RSUs granted in 2023 was $19.62. Unrecognized stock-based compensation expense related to these awards was approximately $1,308 and $3,606 as of March 31, 2024 and 2023, respectively.</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00" w:type="dxa"/>
            <w:vAlign w:val="bottom"/>
          </w:tcPr>
          <w:p>
            <w:pPr>
              <w:spacing w:after="0"/>
              <w:rPr>
                <w:sz w:val="15"/>
                <w:szCs w:val="15"/>
                <w:color w:val="auto"/>
              </w:rPr>
            </w:pP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Company granted 543 Performance Units to employees. 209 Performance Units vest on the one-year anniversary of the grant date, and the remaining 334 Performance Units are performance based and vest on the one-year anniversary of the grant date, provided certain performance criteria are met. The weighted average value per share of Performance Units granted and cancelled during 2023 was $2.43. None of the Performance Units had vested as of March 31, 2024. Unrecognized stock-based compensation expense related to the awards expected to vest was $329 as of March 31, 2024.</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860" w:type="dxa"/>
            <w:vAlign w:val="bottom"/>
          </w:tcPr>
          <w:p>
            <w:pPr>
              <w:spacing w:after="0"/>
              <w:rPr>
                <w:sz w:val="18"/>
                <w:szCs w:val="18"/>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860" w:type="dxa"/>
            <w:vAlign w:val="bottom"/>
          </w:tcPr>
          <w:p>
            <w:pPr>
              <w:spacing w:after="0"/>
              <w:rPr>
                <w:sz w:val="17"/>
                <w:szCs w:val="17"/>
                <w:color w:val="auto"/>
              </w:rPr>
            </w:pPr>
          </w:p>
        </w:tc>
        <w:tc>
          <w:tcPr>
            <w:tcW w:w="11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09"/>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March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During 2023, OnkosXcel Employee Holdings, LLC, a management holding company used to facilitate the grant of equity interests to service providers of OnkosXcel granted 30 individual (not in thousands) time-based PSUs related to OnkosXcel to certain employees of the Company in consideration for services provided to OnkosXcel. In 2022, OnkosXcel Employee Holdings, LLC granted 1,310 (not in thousands) PSUs to employees and a consultant of the Company for services provided to OnkosXcel. The PSUs represent indirect equity interests in OnkosXcel. All PSUs, other than those granted to certain executive employees of the Company, vest ratably over 48 months. PSUs granted to certain executive employees of the Company, vested ratably over 24 months.</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PSUs granted during 2023 were estimated at the date of grant using a Black-Scholes option pricing model and assumptions below.</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 grant profit share</w:t>
            </w:r>
          </w:p>
        </w:tc>
      </w:tr>
      <w:tr>
        <w:trPr>
          <w:trHeight w:val="238"/>
        </w:trPr>
        <w:tc>
          <w:tcPr>
            <w:tcW w:w="4220" w:type="dxa"/>
            <w:vAlign w:val="bottom"/>
          </w:tcPr>
          <w:p>
            <w:pPr>
              <w:spacing w:after="0"/>
              <w:rPr>
                <w:sz w:val="20"/>
                <w:szCs w:val="20"/>
                <w:color w:val="auto"/>
              </w:rPr>
            </w:pPr>
          </w:p>
        </w:tc>
        <w:tc>
          <w:tcPr>
            <w:tcW w:w="4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unit valuation inputs</w:t>
            </w:r>
          </w:p>
        </w:tc>
      </w:tr>
      <w:tr>
        <w:trPr>
          <w:trHeight w:val="216"/>
        </w:trPr>
        <w:tc>
          <w:tcPr>
            <w:tcW w:w="42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97.4 %</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6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4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9"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these awards was $782 and $4,219 at March 31, 2024 and 2023, respectively.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213"/>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225 individual (not in thousands) OnkosXcel RSUs to certain employees. 125 of the OnkosXcel RSUs vest upon the earlier to occur of (a) 180 days after an initial public offering of OnkosXcel, or (b) a change in control of OnkosXcel. The remaining OnkosXcel RSUs vest over four years, with 25% vesting at the one-year anniversary of the grant date and the balance vesting ratably over the remaining 12 quarters of the vesting period. The weighted average grant date fair value per unit for the OnkosXcel RSUs was approximately $10. Unrecognized stock-based compensation expense related to the awards expected to vest was approximately $420 and $2,194 as of March 31, 2024 and 2023, respectively.</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three months ended March 31, 2024 is presented below.</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50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60" w:type="dxa"/>
            <w:vAlign w:val="bottom"/>
            <w:tcBorders>
              <w:bottom w:val="single" w:sz="8" w:color="CCEEFF"/>
            </w:tcBorders>
          </w:tcPr>
          <w:p>
            <w:pPr>
              <w:spacing w:after="0"/>
              <w:rPr>
                <w:sz w:val="21"/>
                <w:szCs w:val="21"/>
                <w:color w:val="auto"/>
              </w:rPr>
            </w:pPr>
          </w:p>
        </w:tc>
      </w:tr>
      <w:tr>
        <w:trPr>
          <w:trHeight w:val="197"/>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tcPr>
          <w:p>
            <w:pPr>
              <w:spacing w:after="0"/>
              <w:rPr>
                <w:sz w:val="20"/>
                <w:szCs w:val="20"/>
                <w:color w:val="auto"/>
              </w:rPr>
            </w:pPr>
          </w:p>
        </w:tc>
      </w:tr>
    </w:tbl>
    <w:p>
      <w:pPr>
        <w:spacing w:after="0" w:line="179"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the intrinsic value of options outstanding was $2,989. The intrinsic value for stock options is calculated based on the difference between the exercise prices of the underlying awards and the quoted stock price of the Company’s common stock as of the reporting date.</w:t>
      </w:r>
    </w:p>
    <w:p>
      <w:pPr>
        <w:spacing w:after="0" w:line="13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No stock options were exercised for the three months ended March 31, 2024. The total intrinsic value of stock options exercised for the three months ended March 31, 2023 was $3,576. As of March 31, 2024 and 2023, the total intrinsic value of stock options exercisable was $2,987 and $31,617, respectively.</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vested as of March 31, 2024 was $13.19.</w:t>
      </w:r>
    </w:p>
    <w:p>
      <w:pPr>
        <w:spacing w:after="0" w:line="185"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5.4 years for options exercisable as of March 31, 2024. The weighted average remaining contractual life was 6.1 years for options outstanding as of March 31, 2024.</w:t>
      </w:r>
    </w:p>
    <w:p>
      <w:pPr>
        <w:spacing w:after="0" w:line="121"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BTI stock option awards as of March 31, 2024 was $6,671 and will be recognized over the remaining vesting periods of the underlying awards. The weighted-average period over which such compensation is expected to be recognized is 1.5 years.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BTI stock options granted during the three months ended March 31, 2024 and 2023 was estimated using the Black-Scholes pricing model with the following assumptions: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220" w:type="dxa"/>
            <w:vAlign w:val="bottom"/>
          </w:tcPr>
          <w:p>
            <w:pPr>
              <w:spacing w:after="0"/>
              <w:rPr>
                <w:sz w:val="15"/>
                <w:szCs w:val="15"/>
                <w:color w:val="auto"/>
              </w:rPr>
            </w:pPr>
          </w:p>
        </w:tc>
        <w:tc>
          <w:tcPr>
            <w:tcW w:w="21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42"/>
        </w:trPr>
        <w:tc>
          <w:tcPr>
            <w:tcW w:w="4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6.1 years</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5.5 years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108.4 %</w:t>
            </w:r>
          </w:p>
        </w:tc>
        <w:tc>
          <w:tcPr>
            <w:tcW w:w="200" w:type="dxa"/>
            <w:vAlign w:val="bottom"/>
          </w:tcPr>
          <w:p>
            <w:pPr>
              <w:spacing w:after="0"/>
              <w:rPr>
                <w:sz w:val="18"/>
                <w:szCs w:val="18"/>
                <w:color w:val="auto"/>
              </w:rPr>
            </w:pPr>
          </w:p>
        </w:tc>
        <w:tc>
          <w:tcPr>
            <w:tcW w:w="104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97.0 %</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97.9 %</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4.0 %</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3.6 %</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0"/>
                <w:szCs w:val="20"/>
                <w:color w:val="auto"/>
              </w:rPr>
            </w:pPr>
          </w:p>
        </w:tc>
        <w:tc>
          <w:tcPr>
            <w:tcW w:w="104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0.0 %</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2023, the Company began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4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RSUs and PSUs, of $3,433 and $4,877 for the three months ended March 31, 2024 and 2023, respectively, which were comprised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r>
      <w:tr>
        <w:trPr>
          <w:trHeight w:val="196"/>
        </w:trPr>
        <w:tc>
          <w:tcPr>
            <w:tcW w:w="540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209"/>
        </w:trPr>
        <w:tc>
          <w:tcPr>
            <w:tcW w:w="5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r>
      <w:tr>
        <w:trPr>
          <w:trHeight w:val="210"/>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299 shares and 281 shares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January 1, 2024 and 2023, respectively. To date, no shares have been sold under the ESPP. There were 1,204 shares available for issuance as of March 31,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March 31, 2024, are as follows:</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6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10"/>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$353 as of March 31, 2024, is included in Other current liabilities on the Condensed Consolidated Balance Sheets.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was $99 and $99 for the three months ended March 31, 2024 and 2023, respectively.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89" w:lineRule="exact"/>
        <w:rPr>
          <w:sz w:val="20"/>
          <w:szCs w:val="20"/>
          <w:color w:val="auto"/>
        </w:rPr>
      </w:pPr>
    </w:p>
    <w:p>
      <w:pPr>
        <w:jc w:val="both"/>
        <w:ind w:left="60" w:right="179" w:firstLine="401"/>
        <w:spacing w:after="0" w:line="266" w:lineRule="auto"/>
        <w:rPr>
          <w:sz w:val="20"/>
          <w:szCs w:val="20"/>
          <w:color w:val="auto"/>
        </w:rPr>
      </w:pPr>
      <w:r>
        <w:rPr>
          <w:rFonts w:ascii="Times New Roman" w:cs="Times New Roman" w:eastAsia="Times New Roman" w:hAnsi="Times New Roman"/>
          <w:sz w:val="18"/>
          <w:szCs w:val="18"/>
          <w:color w:val="auto"/>
        </w:rPr>
        <w:t xml:space="preserve">The Company groups its assets and liabilities measured at fair value in three levels based on the nature of the inputs and assumptions used to determine fair value.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information on the accounting policies related to fair value.</w:t>
      </w:r>
    </w:p>
    <w:p>
      <w:pPr>
        <w:spacing w:after="0" w:line="135" w:lineRule="exact"/>
        <w:rPr>
          <w:sz w:val="20"/>
          <w:szCs w:val="20"/>
          <w:color w:val="auto"/>
        </w:rPr>
      </w:pPr>
    </w:p>
    <w:p>
      <w:pPr>
        <w:ind w:left="60" w:right="219" w:firstLine="401"/>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March 31, 2024 and December 31, 2023, the Company had $51,395 and $64,860, respectively, primarily in money market funds that hold U.S. government cash equivalent instruments (included in cash and cash equivalents) which were valued based on Level 1 inputs. There were no transfers between levels within the hierarchy during the three months ended March 31, 2024 and the year ended December 31, 2023.</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4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Equity Investment Right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21,222</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401"/>
        <w:spacing w:after="0" w:line="261" w:lineRule="auto"/>
        <w:rPr>
          <w:sz w:val="20"/>
          <w:szCs w:val="20"/>
          <w:color w:val="auto"/>
        </w:rPr>
      </w:pPr>
      <w:r>
        <w:rPr>
          <w:rFonts w:ascii="Times New Roman" w:cs="Times New Roman" w:eastAsia="Times New Roman" w:hAnsi="Times New Roman"/>
          <w:sz w:val="18"/>
          <w:szCs w:val="18"/>
          <w:color w:val="auto"/>
        </w:rPr>
        <w:t>Derivative liabilities are comprised of the OnkosXcel Warrants, Equity Investment Right held by the Lenders, and BTI Warrants. The fair value of the derivative liabilities was determined using Monte Carlo simulation models for the Equity Investment Right, Binomial Option Pricing and Distribution models for the OnkosXcel Warrants, and using a Black Scholes model for the BTI Warrants.</w:t>
      </w:r>
    </w:p>
    <w:p>
      <w:pPr>
        <w:spacing w:after="0" w:line="139" w:lineRule="exact"/>
        <w:rPr>
          <w:sz w:val="20"/>
          <w:szCs w:val="20"/>
          <w:color w:val="auto"/>
        </w:rPr>
      </w:pPr>
    </w:p>
    <w:p>
      <w:pPr>
        <w:jc w:val="both"/>
        <w:ind w:left="60" w:right="279" w:firstLine="401"/>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months ended March 31, 2024. Both observable and unobservable inputs were used to determine the fair value of positions that the Company has classified within the Level 3 category.</w:t>
      </w:r>
    </w:p>
    <w:p>
      <w:pPr>
        <w:spacing w:after="0" w:line="14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0"/>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March 31</w:t>
            </w:r>
          </w:p>
        </w:tc>
        <w:tc>
          <w:tcPr>
            <w:tcW w:w="74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0"/>
        </w:trPr>
        <w:tc>
          <w:tcPr>
            <w:tcW w:w="6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9" w:firstLine="401"/>
        <w:spacing w:after="0" w:line="282" w:lineRule="auto"/>
        <w:rPr>
          <w:sz w:val="20"/>
          <w:szCs w:val="20"/>
          <w:color w:val="auto"/>
        </w:rPr>
      </w:pPr>
      <w:r>
        <w:rPr>
          <w:rFonts w:ascii="Times New Roman" w:cs="Times New Roman" w:eastAsia="Times New Roman" w:hAnsi="Times New Roman"/>
          <w:sz w:val="18"/>
          <w:szCs w:val="18"/>
          <w:color w:val="auto"/>
        </w:rPr>
        <w:t>The change in fair value of the derivative liabilities was reported in the Condensed Consolidated Statements of Operations as Other (income) expense, net, for the three months ended March 31, 2024.</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Inputs used to calculate the estimated fair value of the Equity Investment Right at March 31, 2024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Equity Investment Right</w:t>
            </w:r>
          </w:p>
        </w:tc>
      </w:tr>
      <w:tr>
        <w:trPr>
          <w:trHeight w:val="196"/>
        </w:trPr>
        <w:tc>
          <w:tcPr>
            <w:tcW w:w="69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relative to volume weighted 30-day average</w:t>
            </w:r>
          </w:p>
        </w:tc>
        <w:tc>
          <w:tcPr>
            <w:tcW w:w="19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110.0 %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9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109.0 %</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exercise</w:t>
            </w:r>
          </w:p>
        </w:tc>
        <w:tc>
          <w:tcPr>
            <w:tcW w:w="19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90.6 %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period</w:t>
            </w:r>
          </w:p>
        </w:tc>
        <w:tc>
          <w:tcPr>
            <w:tcW w:w="19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3.0 years</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premium to 30-day average</w:t>
            </w:r>
          </w:p>
        </w:tc>
        <w:tc>
          <w:tcPr>
            <w:tcW w:w="19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26.0 %</w:t>
            </w: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4.8 %</w:t>
            </w:r>
          </w:p>
        </w:tc>
      </w:tr>
    </w:tbl>
    <w:p>
      <w:pPr>
        <w:spacing w:after="0" w:line="179" w:lineRule="exact"/>
        <w:rPr>
          <w:sz w:val="20"/>
          <w:szCs w:val="20"/>
          <w:color w:val="auto"/>
        </w:rPr>
      </w:pPr>
    </w:p>
    <w:p>
      <w:pPr>
        <w:ind w:left="60" w:right="179" w:firstLine="401"/>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110% based on the historical volatility of the Company’s stock), and the timing and probability of the relevant capital transactions occurring.</w:t>
      </w:r>
    </w:p>
    <w:p>
      <w:pPr>
        <w:spacing w:after="0" w:line="139" w:lineRule="exact"/>
        <w:rPr>
          <w:sz w:val="20"/>
          <w:szCs w:val="20"/>
          <w:color w:val="auto"/>
        </w:rPr>
      </w:pPr>
    </w:p>
    <w:p>
      <w:pPr>
        <w:ind w:left="60" w:right="319" w:firstLine="401"/>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Credit Agreement as of March 31, 2024 and December 31, 2023 was $89,091 and $88,210, respectively. Both observable and unobservable inputs were used to determine the fair value of long-term debt, which was classified within the Level 3 category.</w:t>
      </w:r>
    </w:p>
    <w:p>
      <w:pPr>
        <w:spacing w:after="0" w:line="149" w:lineRule="exact"/>
        <w:rPr>
          <w:sz w:val="20"/>
          <w:szCs w:val="20"/>
          <w:color w:val="auto"/>
        </w:rPr>
      </w:pPr>
    </w:p>
    <w:p>
      <w:pPr>
        <w:jc w:val="both"/>
        <w:ind w:left="60" w:right="339" w:firstLine="401"/>
        <w:spacing w:after="0" w:line="289" w:lineRule="auto"/>
        <w:rPr>
          <w:sz w:val="20"/>
          <w:szCs w:val="20"/>
          <w:color w:val="auto"/>
        </w:rPr>
      </w:pPr>
      <w:r>
        <w:rPr>
          <w:rFonts w:ascii="Times New Roman" w:cs="Times New Roman" w:eastAsia="Times New Roman" w:hAnsi="Times New Roman"/>
          <w:sz w:val="17"/>
          <w:szCs w:val="17"/>
          <w:color w:val="auto"/>
        </w:rPr>
        <w:t>The fair value of the 2024 Warrants, which is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amounts funded under the Credit Agreement. This non-recurring measurement is classified as Level 2. The inputs used were a strike price of $3.0723, the Company’s stock price of $2.78, volatility of 112.2%, term of 5.1 years and risk-free rate of 4.25%.</w:t>
      </w:r>
    </w:p>
    <w:p>
      <w:pPr>
        <w:spacing w:after="0" w:line="176" w:lineRule="exact"/>
        <w:rPr>
          <w:sz w:val="20"/>
          <w:szCs w:val="20"/>
          <w:color w:val="auto"/>
        </w:rPr>
      </w:pPr>
    </w:p>
    <w:p>
      <w:pPr>
        <w:ind w:left="60" w:right="279" w:firstLine="401"/>
        <w:spacing w:after="0" w:line="256" w:lineRule="auto"/>
        <w:rPr>
          <w:sz w:val="20"/>
          <w:szCs w:val="20"/>
          <w:color w:val="auto"/>
        </w:rPr>
      </w:pPr>
      <w:r>
        <w:rPr>
          <w:rFonts w:ascii="Times New Roman" w:cs="Times New Roman" w:eastAsia="Times New Roman" w:hAnsi="Times New Roman"/>
          <w:sz w:val="18"/>
          <w:szCs w:val="18"/>
          <w:color w:val="auto"/>
        </w:rPr>
        <w:t>The fair value of the 2023 Warrants, which is a non-recurring fair value, was determined as of the date of 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$3.6452, the Company’s stock price of $3.71, volatility of 99%, term of 5.4 years and risk-free rate of 4.14%.</w:t>
      </w:r>
    </w:p>
    <w:p>
      <w:pPr>
        <w:spacing w:after="0" w:line="187"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Original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$20.04, the Company’s stock price of $14.93, volatility of 95%, term of 7 years and risk-free rate of 2.95%. 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in connection with the closing of the Second Amendment of the Credit Agreement, on the Second Amendment Effective Date, the Company amended and restated the Original Warrants granted to the Lenders to have an exercise price of $3.6452 per share.</w:t>
      </w:r>
    </w:p>
    <w:p>
      <w:pPr>
        <w:spacing w:after="0" w:line="192" w:lineRule="exact"/>
        <w:rPr>
          <w:sz w:val="20"/>
          <w:szCs w:val="20"/>
          <w:color w:val="auto"/>
        </w:rPr>
      </w:pPr>
    </w:p>
    <w:p>
      <w:pPr>
        <w:ind w:left="60" w:right="179" w:firstLine="401"/>
        <w:spacing w:after="0" w:line="254" w:lineRule="auto"/>
        <w:rPr>
          <w:sz w:val="20"/>
          <w:szCs w:val="20"/>
          <w:color w:val="auto"/>
        </w:rPr>
      </w:pPr>
      <w:r>
        <w:rPr>
          <w:rFonts w:ascii="Times New Roman" w:cs="Times New Roman" w:eastAsia="Times New Roman" w:hAnsi="Times New Roman"/>
          <w:sz w:val="18"/>
          <w:szCs w:val="18"/>
          <w:color w:val="auto"/>
        </w:rPr>
        <w:t>The fair value of the Accompanying Warrants at issuance on March 25, 2024 was determined using a Black-Scholes pricing model and the fair value of $19,347 was recorded as a derivative liability with the offset recorded as a component of stockholders’ equity in Additional-paid-in-capital in the Condensed Consolidated Balance Sheets. This fair value measurement is classified as Level 2. The valuation inputs used were a strike price of $3.20, the Company’s stock price of $2.81, volatility of 112.2%, a term of 5 years and a risk-free rate of 4.20%. We remeasured the fair value at March 31, 2024 of $19,405 and recorded an unrealized loss of $58 within Other (income) expense, net in the Company’s Condensed Consolidated Statements of Operations. The valuation inputs used as of March 31, 2024 were a strike price of $3.20, the Company’s stock price of $2.82, volatility of 112.19%, term of 5 years and risk-free rate of 4.21%.</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(26,791)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5,565 Pre-Funded warrants to purchase common shares issued in connection with the registered direct offering completed in March 2024 are included in the calculation of basic and diluted net loss per share as the exercise price of $0.001 per share is non-substantive and virtually assured.</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performance units and BTI Warrants (excluding the Prefunded Warrants). The Company had common stock equivalents outstanding as of March 31, 2024 and 2023 of 14,616 and 5,868 shares,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0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spacing w:after="0" w:line="13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July 7, 2023, plaintiff Katelyn Martin filed a class action complaint against the Company and certain executives in the United States District Court for the District of Connecticut, captioned Martin v. BioXcel Therapeutics, et al., 3:23-cv-00915 (D. Conn).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The amended complaint alleges that defendants made false or misleading statements regarding the TRANQUILITY II trial and the development of BXCL501 for an expanded indication related to the treatment of certain Alzheimer’s-related agitation. Defendants filed a motion to dismiss on February 6, 2024, which has not been decided.</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Panancherry et al v. Mehta et al,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In re BioXcel Therapeutics, Inc. Stockholder Derivative Litigation, 3:23-cv-1554 (D. Conn.). The consolidated action is currently stayed.</w:t>
      </w:r>
    </w:p>
    <w:p>
      <w:pPr>
        <w:spacing w:after="0" w:line="16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Smith v. Mehta et al,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In re BioXcel Therapeutics, Inc. Derivative Litigation, 1:24-cv-00041 (D. Del.). The consolidated action is currently stayed.</w:t>
      </w:r>
    </w:p>
    <w:p>
      <w:pPr>
        <w:spacing w:after="0" w:line="151"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99"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is due in year ended 2024.</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jc w:val="both"/>
        <w:ind w:left="60" w:right="299" w:firstLine="369"/>
        <w:spacing w:after="0" w:line="312" w:lineRule="auto"/>
        <w:rPr>
          <w:sz w:val="20"/>
          <w:szCs w:val="20"/>
          <w:color w:val="auto"/>
        </w:rPr>
      </w:pPr>
      <w:r>
        <w:rPr>
          <w:rFonts w:ascii="Times New Roman" w:cs="Times New Roman" w:eastAsia="Times New Roman" w:hAnsi="Times New Roman"/>
          <w:sz w:val="17"/>
          <w:szCs w:val="17"/>
          <w:color w:val="auto"/>
        </w:rPr>
        <w:t xml:space="preserve">In April and May of 2024, the Company issued 3,860 shares of its Common Stock upon the exercise of Pre-Funded Warrants sold on March 25, 2024 in exchange for $4, as discussed in Note 11, </w:t>
      </w:r>
      <w:r>
        <w:rPr>
          <w:rFonts w:ascii="Times New Roman" w:cs="Times New Roman" w:eastAsia="Times New Roman" w:hAnsi="Times New Roman"/>
          <w:sz w:val="17"/>
          <w:szCs w:val="17"/>
          <w:i w:val="1"/>
          <w:iCs w:val="1"/>
          <w:color w:val="auto"/>
        </w:rPr>
        <w:t>Common Stock Financing Activities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May 2024, the Company’s Board of Directors approved a reduction of approximately 15% of the Company’s current workforce. The Company notified impacted employees on May 8, 2024 and will record restructuring costs of $920 in the three-month period ended June 30, 2024. These costs consist of severance and benefit costs, all of which are expected to be paid in cash.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2023.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61"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United States (“U.S.”) Food and Drug Administration (“FDA”) as IGALMI™, BXCL501 is an investigational, proprietary, orally dissolving film formulation of dexmedetomidine (or “Dex”) in development for the treatment of agitation associated with psychiatric and neurological disorders. Our most advanced immuno-oncology asset, BXCL701, is an investigational oral innate immune activator being developed by OnkosXcel Therapeutics as a potential therapy for the treatment of aggressive forms of prostate cancer, pancreatic cancer, and other solid and liquid tumors.</w:t>
      </w:r>
    </w:p>
    <w:p>
      <w:pPr>
        <w:spacing w:after="0" w:line="179" w:lineRule="exact"/>
        <w:rPr>
          <w:sz w:val="20"/>
          <w:szCs w:val="20"/>
          <w:color w:val="auto"/>
        </w:rPr>
      </w:pPr>
    </w:p>
    <w:p>
      <w:pPr>
        <w:ind w:left="60" w:right="19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commercially available in doses of 120 and 180 microgram (“mcg”).</w:t>
      </w:r>
    </w:p>
    <w:p>
      <w:pPr>
        <w:spacing w:after="0" w:line="200"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are continuing to develop BXCL501 for the potential acute treatment of agitation (non-daily) associated with dementia due to probable Alzheimer’s disease in care and at-home settings and for the potential acute treatment of agitation associated with bipolar disorders or schizophrenia in the at-home setting. As described further below, we have recently deprioritized the development of BXCL501 for certain indications, including development of BXCL501 as a potential adjunctive treatment for major depressive disorder (“MDD”), as well as our BXCL701 program except as noted under “Immuno-Oncology” below.</w:t>
      </w:r>
    </w:p>
    <w:p>
      <w:pPr>
        <w:spacing w:after="0" w:line="18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For our TRANQUILITY program, we have conducted clinical studies evaluating BXCL501 for the potential acute treatment of agitation associated with mild to moderate dementia in patients with probable Alzheimer’s disease, who reside in assisted living facilities (“ALFs”) and residential care settings and who required minimal assistance with activities of daily living. On June 29, 2023, we announced positive topline data from our TRANQUILITY II trial, as well as information regarding certain investigator misconduct and noncompliance at a clinical trial site.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had previously been conducting the TRANQUILITY III clinical trial, which was designed to evaluate the potential for BXCL501 to treat acute agitation in patients with moderate to severe dementia associated with probable Alzheimer’s disease living in nursing homes and who require moderate to full assistance with activities of daily living. We paused enrollment in TRANQUILITY III due to the much higher-than-expected background frequency of episodes of agitation experienced by the first several patients enrolled in the study.</w:t>
      </w:r>
    </w:p>
    <w:p>
      <w:pPr>
        <w:spacing w:after="0" w:line="183"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held Type B/Breakthrough Therapy Designation meetings with the FDA on October 11, 2023 and on February 20, 2024 to obtain additional feedback on our plans for further development of BXCL501 for the treatment of agitation associated with dementia in patients with probable Alzheimer’s disease.</w:t>
      </w:r>
    </w:p>
    <w:p>
      <w:pPr>
        <w:spacing w:after="0" w:line="176"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On April 10, 2024, we announced details regarding our planned design of our upcoming TRANQUILITY In-Care Phase 3 trial to evaluate BXCL501 in the care setting. The plan to conduct this trial is based on feedback received from the FDA following the receipt of minutes from the Type B/Breakthrough Therapy designation meeting held with the agency on February 20, 2024.</w:t>
      </w:r>
    </w:p>
    <w:p>
      <w:pPr>
        <w:spacing w:after="0" w:line="18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TRANQUILITY In-Care trial is designed as a double blind, placebo-controlled study to evaluate the efficacy and safety of a 60 mcg dose of BXCL501 over a 12-week period. The trial is expected to enroll a total of approximately 150 patients 55 years and older across the spectrum of Alzheimer’s disease severity with mild, moderate, and severe dementia with mini-mental state examination (MMSE) scores of 0 to 25 who reside in skilled nursing facilities, memory care units, or assisted living facilities.</w:t>
      </w:r>
    </w:p>
    <w:p>
      <w:pPr>
        <w:spacing w:after="0" w:line="18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trial is expected to enroll patients with episodic agitation, with patients self-administering 60 mcg of BXCL501 or placebo when agitation episodes occur over the trial period. The primary endpoint is expected to be a change from baseline in the Positive and Negative Syndrome Scale-Excitatory Component (PEC) total score at two hours post-first dose. This is the same endpoint used in previous TRANQUILITY trials and in studies that supported the FDA approval of IGALMI™ (dexmedetomidine) sublingual film. Continued efficacy evaluations are expected to be conducted through performing additional PEC and complementary efficacy measures, including the global impression of change in agitation. As part of the TRANQUILITY In-Care trial, we plan to include a feasibility cohort of 20 patients that would be evaluated in the home setting. We expect to generate additional Phase 3 efficacy and safety data in the TRANQUILITY In-Care trial to expand the database beyond the 70 patients who have already been treated with 60 mcg of BXCL501 in TRANQUILITY I and II trials to date. We also plan to discuss the details of the requirement for long-term safety data at a future meeting with the FDA.</w:t>
      </w:r>
    </w:p>
    <w:p>
      <w:pPr>
        <w:spacing w:after="0" w:line="192"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our SERENITY program, we are evaluating BXCL501 for use in the at-home setting for agitation associated with bipolar disorders or schizophrenia. We completed Part 1 of the SERENITY III trial and announced topline results on May 25, 2023.</w:t>
      </w:r>
    </w:p>
    <w:p>
      <w:pPr>
        <w:spacing w:after="0" w:line="176"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We reviewed our SERENITY III program with the FDA in Type C meetings on November 8, 2023 and March 6, 2024. Based on the feedback received from the FDA to date, we plan to move forward to evaluate at-home use of the 120 mcg dose of BXCL501, with safety as the primary objective and efficacy measures as exploratory endpoints to support continued efficacy in the at-home setting as recommended by the FDA in the November 8, 2023 meeting, for the acute treatment of agitation in bipolar disorders or schizophrenia. We also plan to conduct a clinical study designed to enroll approximately 30 patients to evaluate the correlation between patient-reported or informant-reported efficacy with trained rater-reported efficacy using PEC measurements, which the FDA had previously recommended.</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April 22, 2024, we announced our plans to amend Part 2 of the SERENITY III trial, which we now refer to as the SERENITY At-Home trial. The SERENITY At-Home trial is designed as a double blind, placebo-controlled study to evaluate the safety and efficacy of a 120 mcg dose of BXCL501 over a 12-week period. The outpatient trial is expected to enroll a total of approximately 200 patients with agitation associated with bipolar disorder or schizophrenia. Patients will self-administer 120 mcg of BXCL501 or placebo when agitation episodes occur over the trial period. The primary objective is safety with efficacy measures as exploratory endpoints to evaluate use in the outpatient setting. In addition, the Company expects to enroll approximately 30 patients in a separate study to evaluate the correlation between patient-reported or informant-reported efficacy with trained rater-reported efficacy using PEC measurements.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Strategic Reprioritization</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determined to take actions to reduce certain operational and workforce expenses no longer deemed core to ongoing operations to extend our cash runway and drive innovation and growth in high-potential clinical development and value-creating opportunities. These actions included a shift in commercial strategy for IGALMI™ in the institutional setting, a reduction of in-hospital commercialization expenses, a de-prioritization of programs no longer determined to be core to ongoing operations, and a prioritization on opportunities for BXCL501 in treating agitation associated with Alzheimer’s dementia (AAD) and in the acute treatment of agitation associated with bipolar disorders and schizophrenia in the at-home setting. As part of this strategy, our Board of Directors approved a reduction of approximately 60% of our workforce. Annualized operating expenses are expected to be reduced by approximately $80,000. As of December 31, 2023, the Reprioritization was substantially completed.</w:t>
      </w:r>
    </w:p>
    <w:p>
      <w:pPr>
        <w:spacing w:after="0" w:line="194"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in the year ended December 31, 2023. These costs consisted of severance and benefit costs of $4,063 and contract termination costs of $100. The Company paid $3,998 of severance and benefit costs and $100 of contract termination costs during the year ended December 31, 2023. All remaining costs of $24 were paid during the first quarter of 2024.</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xml:space="preserve"> Revised Commercialization Strategy</w:t>
      </w:r>
    </w:p>
    <w:p>
      <w:pPr>
        <w:spacing w:after="0" w:line="137" w:lineRule="exact"/>
        <w:rPr>
          <w:sz w:val="20"/>
          <w:szCs w:val="20"/>
          <w:color w:val="auto"/>
        </w:rPr>
      </w:pPr>
    </w:p>
    <w:p>
      <w:pPr>
        <w:ind w:left="60" w:right="379" w:firstLine="324"/>
        <w:spacing w:after="0" w:line="235" w:lineRule="auto"/>
        <w:rPr>
          <w:sz w:val="20"/>
          <w:szCs w:val="20"/>
          <w:color w:val="auto"/>
        </w:rPr>
      </w:pPr>
      <w:r>
        <w:rPr>
          <w:rFonts w:ascii="Times New Roman" w:cs="Times New Roman" w:eastAsia="Times New Roman" w:hAnsi="Times New Roman"/>
          <w:sz w:val="18"/>
          <w:szCs w:val="18"/>
          <w:color w:val="auto"/>
        </w:rPr>
        <w:t>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w:t>
      </w:r>
    </w:p>
    <w:p>
      <w:pPr>
        <w:spacing w:after="0" w:line="193" w:lineRule="exact"/>
        <w:rPr>
          <w:sz w:val="20"/>
          <w:szCs w:val="20"/>
          <w:color w:val="auto"/>
        </w:rPr>
      </w:pPr>
    </w:p>
    <w:p>
      <w:pPr>
        <w:ind w:left="60" w:right="279" w:firstLine="324"/>
        <w:spacing w:after="0" w:line="241" w:lineRule="auto"/>
        <w:rPr>
          <w:sz w:val="20"/>
          <w:szCs w:val="20"/>
          <w:color w:val="auto"/>
        </w:rPr>
      </w:pPr>
      <w:r>
        <w:rPr>
          <w:rFonts w:ascii="Times New Roman" w:cs="Times New Roman" w:eastAsia="Times New Roman" w:hAnsi="Times New Roman"/>
          <w:sz w:val="18"/>
          <w:szCs w:val="18"/>
          <w:color w:val="auto"/>
        </w:rPr>
        <w:t>Commercial efforts for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 were impacted significantly in the six months ended December 31, 2023, due to the reduction in force, which included the elimination of sales, marketing, and commercial operations staff. The realigned CAD team generated $582 in net revenue for the three month period ended March 31, 2024, up from $376 in net revenue for the three-month period ended December 31, 2023 and $341 for the three-month period ended September 30, 2023, through legacy sales and volume-based contracts. Net revenue increased 55% in the first quarter of 2024 compared to the fourth quarter of 2023, primarily driven by multiple new volume contracts and an increase in non-contracted business. The increase in new customer acquisitions and increased sales activity reflects rising utilization, while hospitals and IDNs appear to be embracing the permanent J-Code implemented in January 2024, discussed below.</w:t>
      </w:r>
    </w:p>
    <w:p>
      <w:pPr>
        <w:spacing w:after="0" w:line="197" w:lineRule="exact"/>
        <w:rPr>
          <w:sz w:val="20"/>
          <w:szCs w:val="20"/>
          <w:color w:val="auto"/>
        </w:rPr>
      </w:pPr>
    </w:p>
    <w:p>
      <w:pPr>
        <w:ind w:left="60" w:right="219" w:firstLine="324"/>
        <w:spacing w:after="0" w:line="216" w:lineRule="auto"/>
        <w:rPr>
          <w:sz w:val="20"/>
          <w:szCs w:val="20"/>
          <w:color w:val="auto"/>
        </w:rPr>
      </w:pPr>
      <w:r>
        <w:rPr>
          <w:rFonts w:ascii="Times New Roman" w:cs="Times New Roman" w:eastAsia="Times New Roman" w:hAnsi="Times New Roman"/>
          <w:sz w:val="18"/>
          <w:szCs w:val="18"/>
          <w:color w:val="auto"/>
        </w:rPr>
        <w:t>On October 30, 2023, we announced that the Centers for Medicare &amp; Medicaid Services (“CMS”) assigned a new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(J1105), which became effective on January 1, 2024. J-Codes are permanent codes used by healthcare providers, commercial insurance plans, and government payers to help standardize the reimbursement process. A J-Code can help simplify claims submission as compared to use of a miscellaneous or unlisted code, which in turn can streamline the billing and reimbursement process. The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has been published online in the CMS HCPCS Application Summaries and Coding Recommendations, Third Quarter, 2023 HCPCS Coding Cycle. We believe this J-Code will facilitate expanded access to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patients with agitation associated with bipolar disorder or schizophrenia.</w:t>
      </w:r>
    </w:p>
    <w:p>
      <w:pPr>
        <w:spacing w:after="0" w:line="170" w:lineRule="exact"/>
        <w:rPr>
          <w:sz w:val="20"/>
          <w:szCs w:val="20"/>
          <w:color w:val="auto"/>
        </w:rPr>
      </w:pPr>
    </w:p>
    <w:p>
      <w:pPr>
        <w:ind w:left="60" w:right="459" w:firstLine="324"/>
        <w:spacing w:after="0" w:line="217" w:lineRule="auto"/>
        <w:rPr>
          <w:sz w:val="20"/>
          <w:szCs w:val="20"/>
          <w:color w:val="auto"/>
        </w:rPr>
      </w:pPr>
      <w:r>
        <w:rPr>
          <w:rFonts w:ascii="Times New Roman" w:cs="Times New Roman" w:eastAsia="Times New Roman" w:hAnsi="Times New Roman"/>
          <w:sz w:val="18"/>
          <w:szCs w:val="18"/>
          <w:color w:val="auto"/>
        </w:rPr>
        <w:t>If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outside the U.S., we would consider launching the product through collaborations with third parties.</w:t>
      </w:r>
    </w:p>
    <w:p>
      <w:pPr>
        <w:spacing w:after="0" w:line="150" w:lineRule="exact"/>
        <w:rPr>
          <w:sz w:val="20"/>
          <w:szCs w:val="20"/>
          <w:color w:val="auto"/>
        </w:rPr>
      </w:pPr>
    </w:p>
    <w:p>
      <w:pPr>
        <w:ind w:left="60" w:right="459" w:firstLine="324"/>
        <w:spacing w:after="0" w:line="217" w:lineRule="auto"/>
        <w:rPr>
          <w:sz w:val="20"/>
          <w:szCs w:val="20"/>
          <w:color w:val="auto"/>
        </w:rPr>
      </w:pPr>
      <w:r>
        <w:rPr>
          <w:rFonts w:ascii="Times New Roman" w:cs="Times New Roman" w:eastAsia="Times New Roman" w:hAnsi="Times New Roman"/>
          <w:sz w:val="18"/>
          <w:szCs w:val="18"/>
          <w:color w:val="auto"/>
        </w:rPr>
        <w:t>Our continued commercialization efforts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designed to build the foundation to launch additional potential follow-on indications, if any, paving the way for our expanding neuroscience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major neuroscience clinical development programs as of the date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-22225</wp:posOffset>
            </wp:positionV>
            <wp:extent cx="5503545" cy="2597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035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Development</w:t>
      </w:r>
    </w:p>
    <w:p>
      <w:pPr>
        <w:spacing w:after="0" w:line="194"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7"/>
          <w:szCs w:val="17"/>
          <w:color w:val="auto"/>
        </w:rPr>
        <w:t>In indications other than those approved by the FDA as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BXCL501 remains an investigational, proprietary, orally dissolving film formulation of Dex, a selective alpha-2 receptor agonist, targeting symptoms from stress-related behaviors such as agitation. BXCL501 is our most advanced neuroscience clinical program, being evaluated for the at-home acute treatment of agitation related to bipolar disorders or schizophrenia and for the acute treatment of agitation (non-daily) in patients with dementia due to probable Alzheimer’s disease in care facilities and at-home settings.</w:t>
      </w:r>
    </w:p>
    <w:p>
      <w:pPr>
        <w:spacing w:after="0" w:line="14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easily administered and, compared to medications that may take days or weeks,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 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48"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also believe that BXCL501, if approved for the respective indications, has the potential to become the standard of care for the acute treatment of agitation arising from diseases such as schizophrenia and bipolar disorder and Alzheimer’s disease.</w:t>
      </w:r>
    </w:p>
    <w:p>
      <w:pPr>
        <w:spacing w:after="0" w:line="14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given the differentiated design of BXCL501 and its potential mechanism of action, we believe BXCL501 has the potential to address several diseases or conditions for which agitation is a symptom of the condition or underlying disease, including opioid withdrawal and post-traumatic stress disorder (“PTSD”), which are being evaluated in clinical trials run by third parties.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Clinical Trials</w:t>
      </w:r>
    </w:p>
    <w:p>
      <w:pPr>
        <w:spacing w:after="0" w:line="198" w:lineRule="exact"/>
        <w:rPr>
          <w:sz w:val="20"/>
          <w:szCs w:val="20"/>
          <w:color w:val="auto"/>
        </w:rPr>
      </w:pPr>
    </w:p>
    <w:p>
      <w:pPr>
        <w:ind w:left="60" w:right="9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Treatment of Agitation Associated with Dementia due to Probable Alzheimer’s Disease (AAD)</w:t>
      </w:r>
    </w:p>
    <w:p>
      <w:pPr>
        <w:spacing w:after="0" w:line="11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announced positive topline results from TRANQUILITY II, a randomized, double-blind, placebo-controlled, parallel group trial that evaluated the safety and efficacy of BXCL501 for the acute treatment of Alzheimer’s-related agitation in adults 65 years and older with mild to moderate dementia in assisted living facilities (“ALFs”) and residential care settings who required minimal assistance with activities of daily living. The trial dosed 149 patients. Randomized patients self-administered 40 mcg or 60 mcg of BXCL501 or placebo for agitation episodes that occurred over a 12-week period. The primary endpoint was the change from pre-dose in PEC total score at 2 hours post-dose for the first treated episode of agitation. The key secondary efficacy endpoints were PEC change from pre-dose at 1-hour post-dose of study treatment for the first treated episode of agitation, and PEC change from pre-dose at 30 minutes post-dose of study treatment for the first treated episode of agitation.</w:t>
      </w:r>
    </w:p>
    <w:p>
      <w:pPr>
        <w:spacing w:after="0" w:line="148"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The Phase 3 trial met its primary efficacy endpoint with the 60 mcg dose; a statistically significant and clinically meaningful 7.5 point reduction from baseline in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5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Efficacy for this dose was supported by several secondary measures, including CGI-Improvement and Agitation-Calmness Evaluation Scale. Most patients (76%) responded to the first 60 mcg dose and were determined to be “Very Much” or “Much Improved” (CGI-I of 1 or 2, respectively) compared to 50% with placebo. The primary endpoint was not met for the 40 mcg dose, with a 5.7 point reduction from baseline in PEC score.</w:t>
      </w:r>
    </w:p>
    <w:p>
      <w:pPr>
        <w:spacing w:after="0" w:line="13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this study, who enrolled approximately 40% of the patients, engaged in misconduct.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4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TRANQUILITY III trial was designed to evaluate the safety and efficacy of BXCL501 in patients residing predominantly in nursing homes with moderate to severe dementia due to Alzheimer’s disease who require moderate or greater assistance with activities of daily living. We halted additional enrollment in this Phase 3 after initial enrolled patients were observed to have more frequent episodes of agitation than originally anticipated, suggesting that agitation may present chronically in this population. Due to the chronic nature of agitation episodes observed in this population thus far, we believe that continued evaluation of BXCL501 in this population would require a different development program targeting more frequent or chronic use. We have chosen to focus our development efforts on the urgent need for episodic treatment in the care facility and at-home setting.</w:t>
      </w:r>
    </w:p>
    <w:p>
      <w:pPr>
        <w:spacing w:after="0" w:line="16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 Type B/Breakthrough Therapy designation meeting with the FDA on October 11, 2023, we reviewed our TRANQUILITY clinical trial program and discussed the data package required to support submission of an sNDA for the potential approval of BXCL501 for the acute treatment of agitation in patients with mild to moderate dementia due to probable Alzheimer’s disease in the ALF and at-home settings. Specifically, we sought feedback from the FDA as to whether our data package consisting of TRANQUILITY I and II, along with the clinical pharmacology and toxicology programs previously discussed with the FDA, would be sufficient to support an sNDA submission for the potential use of BXCL501 to treat agitation in patients with mild to moderate dementia due to probable Alzheimer’s disease in either the at-home or ALF setting, or, if not, what additional data would be required. Based on the FDA’s feedback in this meeting, we understand that the FDA will require additional efficacy data, including repeat efficacy data, and that it requested long-term safety data. We therefore requested another meeting with the FDA to further discuss the additional data that would be required to support an sNDA submission.</w:t>
      </w:r>
    </w:p>
    <w:p>
      <w:pPr>
        <w:spacing w:after="0" w:line="192"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On February 20, 2024, we held a Type B/Breakthrough Therapy designation meeting with the FDA. The original purpose of this meeting was to obtain feedback on the design of a proposed at-home study that did not include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TRANQUILITY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w:t>
      </w:r>
    </w:p>
    <w:p>
      <w:pPr>
        <w:spacing w:after="0" w:line="373" w:lineRule="exact"/>
        <w:rPr>
          <w:sz w:val="20"/>
          <w:szCs w:val="20"/>
          <w:color w:val="auto"/>
        </w:rPr>
      </w:pPr>
    </w:p>
    <w:p>
      <w:pPr>
        <w:ind w:left="60" w:right="6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SERENITY Program: Agitation Associated with Bipolar Disorders I and II and Schizophrenia (at-home setting)</w:t>
      </w:r>
    </w:p>
    <w:p>
      <w:pPr>
        <w:spacing w:after="0" w:line="118" w:lineRule="exact"/>
        <w:rPr>
          <w:sz w:val="20"/>
          <w:szCs w:val="20"/>
          <w:color w:val="auto"/>
        </w:rPr>
      </w:pPr>
    </w:p>
    <w:p>
      <w:pPr>
        <w:ind w:left="60" w:right="159" w:firstLine="324"/>
        <w:spacing w:after="0" w:line="274" w:lineRule="auto"/>
        <w:rPr>
          <w:sz w:val="20"/>
          <w:szCs w:val="20"/>
          <w:color w:val="auto"/>
        </w:rPr>
      </w:pPr>
      <w:r>
        <w:rPr>
          <w:rFonts w:ascii="Times New Roman" w:cs="Times New Roman" w:eastAsia="Times New Roman" w:hAnsi="Times New Roman"/>
          <w:sz w:val="17"/>
          <w:szCs w:val="17"/>
          <w:color w:val="auto"/>
        </w:rPr>
        <w:t>We initiated the clinical study of BXCL501 in patients with agitation associated with bipolar disorders or schizophrenia in SERENITY III, which consists of two parts. The first part was comparable to our pivotal SERENITY I and II studies. Using similar inclusion and exclusion criterion under a well-controlled in-patient setting, acutely agitated patients with schizophrenia or bipolar disorders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spacing w:after="0" w:line="132"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On May 25, 2023, we reported topline results from Part I of the study. Although the trial did not meet its primary efficacy endpoint, we believe the efficacy results, observed with the 60 mcg dose, representing half of the lowest approved dose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in-patient use (120 mcg), were promising. Specifically, greater than 50% of individuals were responders, defined as those patients who achieved a 40% or greater reduction in PEC score. Furthermore, this population responder rate was consistent and dose-proportionate to the same response rates observed in the larger SERENITY I and II trials. Although the primary efficacy endpoint as a group mean change in PEC score from baseline at 2 hours was not statistically significant at the primary endpoint at 2 hours (p=0.077), BXCL501 statistically separated from placebo at 4 hours (p=0.049).</w:t>
      </w:r>
    </w:p>
    <w:p>
      <w:pPr>
        <w:spacing w:after="0" w:line="176" w:lineRule="exact"/>
        <w:rPr>
          <w:sz w:val="20"/>
          <w:szCs w:val="20"/>
          <w:color w:val="auto"/>
        </w:rPr>
      </w:pPr>
    </w:p>
    <w:p>
      <w:pPr>
        <w:ind w:left="60" w:right="279" w:firstLine="324"/>
        <w:spacing w:after="0" w:line="243" w:lineRule="auto"/>
        <w:rPr>
          <w:sz w:val="20"/>
          <w:szCs w:val="20"/>
          <w:color w:val="auto"/>
        </w:rPr>
      </w:pPr>
      <w:r>
        <w:rPr>
          <w:rFonts w:ascii="Times New Roman" w:cs="Times New Roman" w:eastAsia="Times New Roman" w:hAnsi="Times New Roman"/>
          <w:sz w:val="18"/>
          <w:szCs w:val="18"/>
          <w:color w:val="auto"/>
        </w:rPr>
        <w:t>Part II of the SERENITY III study was designed to evaluate the same dose tested in Part I, 60 mcg (with an optional additional 60 mcg dose), but in the at-home setting and focusing on safety only. However, because the trial did not meet its primary efficacy endpoint using this 60 mcg dose in Part I, we paused continuation of Part II of the study pending feedback from the FDA. We held a Type C meeting on November 8, 2023 with the FDA to discuss changes to Part II of our SERENITY III study. We proposed the evaluation of an 80 mcg dose based on previous clinical experience with this dose during our Phase 1b trial in schizophrenia patients with agitation, and pharmacokinetic and pharmacodynamic modeling suggesting that use of an 80 mcg dose of BXCL501 could provide an optimal balance between safety and efficacy for at-home use. Based on feedback from the FDA during the meeting, we made the decision to evaluate a 120 mcg dose in the at-home setting. The 120 mcg dose has already demonstrated efficacy based on the approved conditions of use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(when administered under the supervision of a healthcare provider, for a single agitation episode), so we sought further feedback from the FDA regarding the proposed design of this study amendment in a request for a follow-up meeting with the FDA, which was held on March 6,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Based on the FDA’s feedback in advance of and during the March 6, 2024 meeting, we plan to move forward to evaluate at-home use of the 120 mcg dose of BXCL501 by amending Part 2 of the SERENITY III study, which we now refer to as the SERENITY At-Home trial, with safety as the primary objective and efficacy measures as exploratory endpoints to support continued efficacy in the at-home setting as recommended by the FDA in the November 8, 2023 meeting, for the acute treatment of agitation in bipolar disorders or schizophrenia. We also plan to conduct a clinical study designed to enroll approximately 30 patients to evaluate the correlation between patient-reported or informant-reported efficacy with trained rater-reported efficacy using PEC measurements, which the FDA had previously recommended.</w:t>
      </w:r>
    </w:p>
    <w:p>
      <w:pPr>
        <w:spacing w:after="0" w:line="137" w:lineRule="exact"/>
        <w:rPr>
          <w:sz w:val="20"/>
          <w:szCs w:val="20"/>
          <w:color w:val="auto"/>
        </w:rPr>
      </w:pPr>
    </w:p>
    <w:p>
      <w:pPr>
        <w:ind w:left="60" w:right="179" w:firstLine="324"/>
        <w:spacing w:after="0" w:line="221"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FDA feedback, we believe that our ability to seek labeling without the current LOU will depend, in part, on the number of agitation episodes we observe during our planned study period. On April 22, 2024, we announced our plans, subject to funding, to move forward the SERENITY At-Home trial.</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Adjunctive Treatment in Major Depressive Disorder (“MDD”)</w:t>
      </w:r>
    </w:p>
    <w:p>
      <w:pPr>
        <w:spacing w:after="0" w:line="189"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4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May 16, 2023, we reported positive topline results from a MAD study. It enrolled 125 healthy adult volunteers across seven different cohorts in a 2:1 randomization to BXCL501 or placebo film. Healthy volunteers were dosed for 7 consecutive days. Both safety and pharmacokinetics were assessed. The study included 7 cohorts. Four distinct cohorts received 30 mcg, 60 mcg, 80 mcg, or 120 mcg doses of BXCL501 or placebo once daily. Two additional dosing cohorts received twice-daily (BID) BXCL501 at either 30 mcg in the morning and 60 mcg in the evening, or 40 mcg in the morning and 80 mcg in the evening. The final escalation cohort evaluated BXCL501 at 60 mcg in the morning and 80 mcg in the evening in combination with 30 mg of duloxetine BID. BXCL501 was generally well tolerated across all dosing cohorts. Based upon pre-specified stopping criteria, a maximum tolerated dose was not reached. All adverse events were reported as mild or moderate.</w:t>
      </w:r>
    </w:p>
    <w:p>
      <w:pPr>
        <w:spacing w:after="0" w:line="148"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7"/>
          <w:szCs w:val="17"/>
          <w:color w:val="auto"/>
        </w:rPr>
        <w:t>As part of the Reprioritization announced on August 14, 2023, we have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202"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54% of the 150 total subjects have been enrolled in the U.S. and 81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Reprioritization.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Investigator-Initiated Trial Programs</w:t>
      </w:r>
    </w:p>
    <w:p>
      <w:pPr>
        <w:spacing w:after="0" w:line="229" w:lineRule="exact"/>
        <w:rPr>
          <w:sz w:val="20"/>
          <w:szCs w:val="20"/>
          <w:color w:val="auto"/>
        </w:rPr>
      </w:pPr>
    </w:p>
    <w:p>
      <w:pPr>
        <w:ind w:left="60" w:right="159" w:firstLine="324"/>
        <w:spacing w:after="0" w:line="273" w:lineRule="auto"/>
        <w:rPr>
          <w:sz w:val="20"/>
          <w:szCs w:val="20"/>
          <w:color w:val="auto"/>
        </w:rPr>
      </w:pPr>
      <w:r>
        <w:rPr>
          <w:rFonts w:ascii="Times New Roman" w:cs="Times New Roman" w:eastAsia="Times New Roman" w:hAnsi="Times New Roman"/>
          <w:sz w:val="17"/>
          <w:szCs w:val="17"/>
          <w:color w:val="auto"/>
        </w:rPr>
        <w:t>The Company has been awarded key opportunities for the development of BXCL501 in post-traumatic stress disorder (“PTSD”), alcohol use disorder (“AUD”), and opioid use disorder (“OUD”). These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NIDA. The Company has retained all rights to commercialization of BXCL501 in all potential indications evaluated in clinical trials supported by the U.S. government.</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Program</w:t>
      </w:r>
    </w:p>
    <w:p>
      <w:pPr>
        <w:spacing w:after="0" w:line="229" w:lineRule="exact"/>
        <w:rPr>
          <w:sz w:val="20"/>
          <w:szCs w:val="20"/>
          <w:color w:val="auto"/>
        </w:rPr>
      </w:pPr>
    </w:p>
    <w:p>
      <w:pPr>
        <w:ind w:left="60" w:right="239" w:firstLine="405"/>
        <w:spacing w:after="0" w:line="253" w:lineRule="auto"/>
        <w:rPr>
          <w:sz w:val="20"/>
          <w:szCs w:val="20"/>
          <w:color w:val="auto"/>
        </w:rPr>
      </w:pPr>
      <w:r>
        <w:rPr>
          <w:rFonts w:ascii="Times New Roman" w:cs="Times New Roman" w:eastAsia="Times New Roman" w:hAnsi="Times New Roman"/>
          <w:sz w:val="18"/>
          <w:szCs w:val="18"/>
          <w:color w:val="auto"/>
        </w:rPr>
        <w:t xml:space="preserve">As previously announced, NIDA awarded a grant to Columbia University to fund clinical testing of BXCL501 as a potential treatment for opioid withdrawal in patients diagnosed with OUD. The original 160-patient, three-site, four-arm </w:t>
      </w:r>
      <w:r>
        <w:rPr>
          <w:rFonts w:ascii="Times New Roman" w:cs="Times New Roman" w:eastAsia="Times New Roman" w:hAnsi="Times New Roman"/>
          <w:sz w:val="18"/>
          <w:szCs w:val="18"/>
          <w:color w:val="212121"/>
        </w:rPr>
        <w:t>study is a randomized, double-blind, double-dummy inpatient study comparing BXCL501 (180 mcg and 240 mcg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BID), 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8"/>
          <w:szCs w:val="18"/>
          <w:color w:val="000000"/>
        </w:rPr>
        <w:t>fentanyl adulterated or associated with xylazine</w:t>
      </w:r>
      <w:r>
        <w:rPr>
          <w:rFonts w:ascii="Times New Roman" w:cs="Times New Roman" w:eastAsia="Times New Roman" w:hAnsi="Times New Roman"/>
          <w:sz w:val="18"/>
          <w:szCs w:val="18"/>
          <w:color w:val="212121"/>
        </w:rPr>
        <w:t>. To date, a</w:t>
      </w:r>
      <w:r>
        <w:rPr>
          <w:rFonts w:ascii="Times New Roman" w:cs="Times New Roman" w:eastAsia="Times New Roman" w:hAnsi="Times New Roman"/>
          <w:sz w:val="18"/>
          <w:szCs w:val="18"/>
          <w:color w:val="000000"/>
        </w:rPr>
        <w:t>ll three initial sites have recruited,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enrolled, and dosed patients diagnosed with OUD who are physically dependent on opioids, including prescription opioids. The Company is supplying the drug product for the conduct of this study, which is sponsored by Columbia University</w:t>
      </w:r>
      <w:r>
        <w:rPr>
          <w:rFonts w:ascii="Times New Roman" w:cs="Times New Roman" w:eastAsia="Times New Roman" w:hAnsi="Times New Roman"/>
          <w:sz w:val="18"/>
          <w:szCs w:val="18"/>
          <w:color w:val="212121"/>
        </w:rPr>
        <w:t>. We expect that the results from current study will be used to select a recommended dose of BXCL501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compare to placebo in a later outpatient Phase 3 study sponsored by </w:t>
      </w:r>
      <w:r>
        <w:rPr>
          <w:rFonts w:ascii="Times New Roman" w:cs="Times New Roman" w:eastAsia="Times New Roman" w:hAnsi="Times New Roman"/>
          <w:sz w:val="18"/>
          <w:szCs w:val="18"/>
          <w:color w:val="000000"/>
        </w:rPr>
        <w:t>NIDA.</w:t>
      </w:r>
    </w:p>
    <w:p>
      <w:pPr>
        <w:spacing w:after="0" w:line="19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On November 6, 2023, we announced that NIDA has requested Columbia University, the trial coordinator, to add a fourth site to target trial completion in 2024. The patient screening and enrollment process for the fourth site commenced in March 2024, and completion of the trial is anticipated in the second half of 2024. Subject to favorable results, we plan to seek FDA feedback on potential registrational paths.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with Comorbid Post-traumatic Stress Disorder Program</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We understand Yale is currently seeking approval from its IRB and allowance from the FDA to proceed with a trial evaluating the effects of up to 80 mcg BID of BXCL501 per day for 28 days on alcohol consumption, PTSD symptoms, cognitive function, memory, sleep, and mood in patients diagnosed with mild, moderate, or severe AUD and who meet Criterion A for comorbid PTSD. The new outpatient study has received funding approval from the Pharmacotherapies for Alcohol and Substance Use Disorders Alliance (funded through a Cooperative Agreement between the U.S. Department of Defense Congressionally Directed Medical Research Program and RTI International). We believe the results from this study will be used to inform a Phase 3 study intended to commence with support by the alliance.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Algorithms for Wearable Technologies</w:t>
      </w:r>
    </w:p>
    <w:p>
      <w:pPr>
        <w:spacing w:after="0" w:line="202"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The Company completed a healthy volunteer study designed to train an algorithm to detect a state of hyper-arousal, which often precedes agitated behaviors. In hyper-aroused healthy volunteers, robust signals were measured using</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wearable technology (phones and watches). As part of the Reprioritization announced on August 14, 2023, we deprioritized our plan to develop wearable technology.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 Development</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is designed to affect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are currently under way with BXCL502 and are expected to continue in 2024.</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Candidates Leveraging the AI Platform</w:t>
      </w:r>
    </w:p>
    <w:p>
      <w:pPr>
        <w:spacing w:after="0" w:line="202" w:lineRule="exact"/>
        <w:rPr>
          <w:sz w:val="20"/>
          <w:szCs w:val="20"/>
          <w:color w:val="auto"/>
        </w:rPr>
      </w:pPr>
    </w:p>
    <w:p>
      <w:pPr>
        <w:ind w:left="60" w:right="379" w:firstLine="324"/>
        <w:spacing w:after="0" w:line="281" w:lineRule="auto"/>
        <w:rPr>
          <w:sz w:val="20"/>
          <w:szCs w:val="20"/>
          <w:color w:val="auto"/>
        </w:rPr>
      </w:pPr>
      <w:r>
        <w:rPr>
          <w:rFonts w:ascii="Times New Roman" w:cs="Times New Roman" w:eastAsia="Times New Roman" w:hAnsi="Times New Roman"/>
          <w:sz w:val="17"/>
          <w:szCs w:val="17"/>
          <w:color w:val="auto"/>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 and to re-innovate late-stage drug candidates, such as BXCL503, targeting apathy in dementia, and BXCL504, targeting aggression in dementia.</w:t>
      </w:r>
    </w:p>
    <w:p>
      <w:pPr>
        <w:spacing w:after="0" w:line="124"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 (similar to BXCL501). We are also developing an AI-based research and development platform to help identify potential product candidates and indications across a range of treatment areas.</w:t>
      </w: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20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48" w:lineRule="exact"/>
        <w:rPr>
          <w:sz w:val="20"/>
          <w:szCs w:val="20"/>
          <w:color w:val="auto"/>
        </w:rPr>
      </w:pPr>
    </w:p>
    <w:p>
      <w:pPr>
        <w:ind w:left="60" w:right="139" w:firstLine="324"/>
        <w:spacing w:after="0" w:line="265"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April 25, 2024, our neuroscience patent portfolio included three Patent Cooperation Treaty (“PCT”) applications not yet in national phase, 19 U.S. utility applications, seven U.S. provisional applications, one allowed US application, 11 issued U.S. utility patents, 110 pending non-U.S. utility applications, 20 allowed or granted non-U.S. patents (including four in Japan), one pending U.S. design patent application, and 39 allowed or registered design patents (including two in Japan). Eight U.S. utility patents, directed to our proprietary sublingual film formulation of Dex and methods of treating agitation, are now listed in the FDA’s Approved Drug Products with Therapeutic Equivalence Evaluations (commonly known as the “Orange Book”) for IGALMI™ with expiration dates between 2039 and 2043. In the formulation family, we also have a granted patent in China, three granted patents in Eurasia, and pending applications in the U.S., China, and other major markets. We expect that patents issued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issued from these applications, if any, will expire no earlier than 2035. We also have applications filed in 17 regions/countries, including the U.S., Europe, Japan, and China, directed to methods of treating agitation. We expect that patents issued from these applications, if any, will expire between 2039 and 2043. We also have three PCT applications directed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7" w:lineRule="auto"/>
        <w:rPr>
          <w:sz w:val="20"/>
          <w:szCs w:val="20"/>
          <w:color w:val="auto"/>
        </w:rPr>
      </w:pPr>
      <w:r>
        <w:rPr>
          <w:rFonts w:ascii="Times New Roman" w:cs="Times New Roman" w:eastAsia="Times New Roman" w:hAnsi="Times New Roman"/>
          <w:sz w:val="18"/>
          <w:szCs w:val="18"/>
          <w:color w:val="auto"/>
        </w:rPr>
        <w:t>treating mania, depression, stress and agitation. If patents are issued from those cases, we expect them to expire in 2043 or 2044.</w:t>
      </w:r>
    </w:p>
    <w:p>
      <w:pPr>
        <w:spacing w:after="0" w:line="122"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8"/>
          <w:szCs w:val="18"/>
          <w:color w:val="auto"/>
        </w:rPr>
        <w:t>In April 2024, the Company received a Notice of Allowance from the U.S. Patent and Trademark Office (“USPTO”) for U.S. Patent Application No. 18/189,073 (the “’073 Application”) The ’073 Application claims a method of treating acute agitation associated with schizophrenia or bipolar disorder in an agitated human subject at risk of torsades de pointes or sudden death. This patent, when issued, is expected to have an expiration date of January 12, 2043. It will be submitted for listing in the United States Food and Drug Administration's (“FDA”) Approved Drug Products with Therapeutic Equivalence Evaluations (commonly known as the "Orange Book") in addition to the eight currently listed U.S. patents for IGALMI™ (dexmedetomidine) sublingual film.</w:t>
      </w:r>
    </w:p>
    <w:p>
      <w:pPr>
        <w:spacing w:after="0" w:line="151"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8"/>
          <w:szCs w:val="18"/>
          <w:color w:val="auto"/>
        </w:rPr>
        <w:t>In April 2024, the Company also received a notice of allowance from the Japanese Patent Office for Application No. 2020-573042, which is directed to a broad range of dosage forms, including films such as BXCL501. The patent, when issued, is expected to expire no earlier than June 26, 2039.</w:t>
      </w:r>
    </w:p>
    <w:p>
      <w:pPr>
        <w:spacing w:after="0" w:line="137"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8"/>
          <w:szCs w:val="18"/>
          <w:color w:val="auto"/>
        </w:rPr>
        <w:t>In March 2024, the Company announced that the European Patent Office granted the Company’s European Patent No. 3,562,486 (the “’486 patent”), which covers the use of dexmedetomidine administered sublingually to treat agitation in individuals with dementia. The ‘486 patent encompasses a broad range of dosage forms, including films such as BXCL501 (sublingual dexmedetomidine), wafers, and tablets, at dexmedetomidine doses ranging from 3 mcg to 100 mcg. The ‘486 patent will expire no earlier than December 29, 2037.</w:t>
      </w:r>
    </w:p>
    <w:p>
      <w:pPr>
        <w:spacing w:after="0" w:line="145" w:lineRule="exact"/>
        <w:rPr>
          <w:sz w:val="20"/>
          <w:szCs w:val="20"/>
          <w:color w:val="auto"/>
        </w:rPr>
      </w:pPr>
    </w:p>
    <w:p>
      <w:pPr>
        <w:ind w:left="60" w:right="419" w:firstLine="324"/>
        <w:spacing w:after="0" w:line="269" w:lineRule="auto"/>
        <w:rPr>
          <w:sz w:val="20"/>
          <w:szCs w:val="20"/>
          <w:color w:val="auto"/>
        </w:rPr>
      </w:pPr>
      <w:r>
        <w:rPr>
          <w:rFonts w:ascii="Times New Roman" w:cs="Times New Roman" w:eastAsia="Times New Roman" w:hAnsi="Times New Roman"/>
          <w:sz w:val="18"/>
          <w:szCs w:val="18"/>
          <w:color w:val="auto"/>
        </w:rPr>
        <w:t>In February 2024, the Company announced that the USPTO had allowed U.S. Patent Application No. 17/496,470 with claims pertaining to a method of treating agitation in patients with Alzheimer’s disease using the oromucosal administration of 60 mcg of dexmedetomidine in a water-soluble dosage form. The broad claims encompass film formulations such as BXCL501 (sublingual dexmedetomidine), tablets, or wafers. The patent was issued on March 19, 2024 as U.S. Pat. No. 11,931,340, and has an expiration date of December 29, 2037, subject to patent term adjustment (“PTA”), patent term extension (“PTE”) and terminal disclaimers.</w:t>
      </w:r>
    </w:p>
    <w:p>
      <w:pPr>
        <w:spacing w:after="0" w:line="147"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8"/>
          <w:szCs w:val="18"/>
          <w:color w:val="auto"/>
        </w:rPr>
        <w:t>In February 2024, the Company also announced the USPTO issued U.S. Patent No. 11,890,272 (the “'272 Patent”) on February 6, 2024. The '272 Patent claims a method of treating agitation associated with schizophrenia or bipolar disorder through oromucosal administration of about 120 mcg to about 180 mcg of dexmedetomidine where the patient has a QT interval of less than 470 msec. The '272 Patent has an expiration date of July 17, 2040, subject to PTA, PTE and terminal disclaimers. The '272 Patent has been accepted for listing in the FDA Approved Drug Products with Therapeutic Equivalence Evaluations (commonly known as the “Orange Book”).</w:t>
      </w:r>
    </w:p>
    <w:p>
      <w:pPr>
        <w:spacing w:after="0" w:line="14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February 2024, the Company also received notice that the USPTO had allowed U.S. Patent Application No. 18/216,890 with claims pertaining to a method of treating agitation using an oromucosal formulation of dexmedetomidine or a pharmaceutically acceptable salt thereof through the administration of an initial dose of 60 mcg, 80 mcg, 90 mcg, 120 mcg or 180 mcg of dexmedetomidine and, after at least two hours, administering an oromucosal formulation of dexmedetomidine or a pharmaceutically acceptable salt thereof in a second dose of 40 mcg, 60 mcg, 80 mcg or 90 mcg of dexmedetomidine, where the patient has a QT interval of less than 470 msec. The patent, when issued, is expected to have an expiration date of July 17, 2040, subject to PTA, PTE and terminal disclaimers. The Company expects that this patent, when issued, will be submitted for listing in the Orange Book with the eight currently listed U.S. patents for IGALMI™ (dexmedetomidine) sublingual film.</w:t>
      </w:r>
    </w:p>
    <w:p>
      <w:pPr>
        <w:spacing w:after="0" w:line="14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6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5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39"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202"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to develop potentially transformative medicines in oncology. OnkosXcel uses proprietary AI capabilities to drive the capital-efficient development of innovative anti-cancer therapeutics. On March 14, 2023, we announced that OnkosXcel had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confidentially submitted a draft registration statement on Form S-1 with the SEC relating to the proposed initial public offering of its common stock following its conversion into a corporation. The Company is continuing to evaluate strategic options for OnkosXcel. With the Company’s Reprioritization announcement on August 14, 2023, further work on the immuno-oncology programs described below have generally been paused, except as noted below.</w:t>
      </w:r>
    </w:p>
    <w:p>
      <w:pPr>
        <w:spacing w:after="0" w:line="153"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complemented by EvolverAI, utilized in the successful development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carcinoma (“SCNC”) phenotype metastatic castration-resistant prostate cancer (“mCRPC”). On February 12, 2024, the Company announced that the FDA has designated as a Fast Track development program the investigation of BXCL701 in combination with a checkpoint inhibitor for the treatment of patients with metastatic SCNC with progression on chemotherapy and no evidence of microsatellite instability. We intend to finalize a potential registrational trial design in mCRPC patients with SCNC phenotype following planned meetings with the FDA in the first half of 2024. However, the start of any such trial is paused following our Reprioritization.</w:t>
      </w:r>
    </w:p>
    <w:p>
      <w:pPr>
        <w:spacing w:after="0" w:line="16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CPIs therapeutic utility. We believe BXCL701 can potentially provide significant benefits for the approximately 20% of the estimated 299,010 men who will be diagnosed with prostate cancer in the U.S. in 2024 and are expected to progress to the more aggressive mCRPC form of the disease, including approximately 20%, or 11,960, of those patients who will develop the SCNC phenotype, for which there are currently limited treatment options. Immune checkpoints represent a myriad of inhibitory pathways that act to regulate the duration and intensity of an antigen-induced immune response and factor prominently in mediating immune tolerance. They function as critical gatekeepers that prevent the indiscriminate attack of normal host cells by components of the immune system. Certain cancers co-opt these pathways and overexpress immune checkpoint molecules to camouflage themselves to avoid detection and destruction. CPIs, designed to harness the intrinsic power resident in the immune system, work by disabling the suppressive function of immune checkpoints, allowing the immune system to bypass such cancers’ shield of immune tolerance. CPIs are expected to generate sales of more than $50 billion worldwide by 2025, up from sales of approximately $29 billion in 2020.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pacing w:after="0" w:line="149"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58" w:lineRule="exact"/>
        <w:rPr>
          <w:sz w:val="20"/>
          <w:szCs w:val="20"/>
          <w:color w:val="auto"/>
        </w:rPr>
      </w:pPr>
    </w:p>
    <w:p>
      <w:pPr>
        <w:ind w:left="720" w:right="259" w:hanging="319"/>
        <w:spacing w:after="0" w:line="28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579" w:hanging="319"/>
        <w:spacing w:after="0" w:line="284"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33"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33"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18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 We are working to develop our second AI-driven product candidate, BXCL702, by leveraging our innate immunity modulation program via re-innovation or in-licensing and we intend to nominate a candidate by 2025.</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w:t>
      </w:r>
    </w:p>
    <w:p>
      <w:pPr>
        <w:spacing w:after="0" w:line="202"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With our Strategic Reprioritization announcement on August 14, 2023, further work on our immuno-oncology program has been paused, other than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102235</wp:posOffset>
            </wp:positionV>
            <wp:extent cx="5503545" cy="2434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035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20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complemented by EvolverAI,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been constructed to embrace key distinguishing characteristics of the innate immune system and we believe it is supported by our development efforts. This approach has driven the development of BXCL701, which we are currently evaluating in a Phase 1b/2a clinical proof-of-concept trial as a potential treatment for mCRPC with either SCNC or adenocarcinoma phenotype. Fundamental to the innate immune modulation program is BXCL701’s potential to:</w:t>
      </w:r>
    </w:p>
    <w:p>
      <w:pPr>
        <w:spacing w:after="0" w:line="153"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Innate Immune Activator</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BXCL701 is an oral small molecule inhibitor of a class of enzymes called DPPs, specifically DPP8/9 and DPP4. Inhibition of DPP8/9 initiates activation of the inflammasome and ultimately activation of the innate immune system. Key characteristics of BXCL701 include:</w:t>
      </w:r>
    </w:p>
    <w:p>
      <w:pPr>
        <w:spacing w:after="0" w:line="135" w:lineRule="exact"/>
        <w:rPr>
          <w:sz w:val="20"/>
          <w:szCs w:val="20"/>
          <w:color w:val="auto"/>
        </w:rPr>
      </w:pPr>
    </w:p>
    <w:p>
      <w:pPr>
        <w:ind w:left="720" w:right="4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bioavailable, potentially sole inhibitor of both DPP8/9 and DPP4, key regulators of the inflammasome directed innate immune response, currently in clinical development for cancer.</w:t>
      </w:r>
    </w:p>
    <w:p>
      <w:pPr>
        <w:spacing w:after="0" w:line="134"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proposed mechanism of action may complement CPIs activity, enabling therapeutic access to immunologically cold tumors as well as other difficult-to-treat cancers, including relapsed or refractory tumor types.</w:t>
      </w:r>
    </w:p>
    <w:p>
      <w:pPr>
        <w:spacing w:after="0" w:line="13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proof-of-concept achieved in treating mCRPC patients with either adenocarcinoma or SCNC phenotype.</w:t>
      </w:r>
    </w:p>
    <w:p>
      <w:pPr>
        <w:spacing w:after="0" w:line="121"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initial focus on mCRPC with SCNC phenotype is designed to provide for a more efficient clinical development pathway than current industry standards.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189"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3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BXCL701 is being evaluated in a Phase 1b/2a clinical proof-of-concept trial that we are sponsoring to investigate its potential efficacy when used in combination with pembrolizumab. Enrollment in this trial is complete.</w:t>
      </w:r>
    </w:p>
    <w:p>
      <w:pPr>
        <w:spacing w:after="0" w:line="135"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we plan to meet with the FDA in an End-of-Phase 2 meeting in the first half of 2024 to discuss the development path forward. However, the start of any such additional trial is paused following the Company’s Reprioritization. The Phase 1b portion of our Phase 1b/2 clinical trial was a dose escalation safety lead-in which employed a standard 3 x 3 trial design to determine the recommended Phase 2 dose (“RP2D”). During each 21-day treatment cycle, 200 mg of pembrolizumab were administered intravenously on day one, with BXCL701 taken twice daily on days one through 14, for a minimum of two cycles. The results of this Phase 1b trial, which were presented at The Society for Immunotherapy of Cancer’s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Annual Meeting, allowed us to identify 0.3 mg, taken twice daily, as the RP2D.</w:t>
      </w:r>
    </w:p>
    <w:p>
      <w:pPr>
        <w:spacing w:after="0" w:line="203"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70" w:lineRule="auto"/>
        <w:rPr>
          <w:sz w:val="20"/>
          <w:szCs w:val="20"/>
          <w:color w:val="auto"/>
        </w:rPr>
      </w:pPr>
      <w:r>
        <w:rPr>
          <w:rFonts w:ascii="Times New Roman" w:cs="Times New Roman" w:eastAsia="Times New Roman" w:hAnsi="Times New Roman"/>
          <w:sz w:val="17"/>
          <w:szCs w:val="17"/>
          <w:color w:val="auto"/>
        </w:rPr>
        <w:t>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w:t>
      </w:r>
    </w:p>
    <w:p>
      <w:pPr>
        <w:spacing w:after="0" w:line="3" w:lineRule="exact"/>
        <w:rPr>
          <w:sz w:val="20"/>
          <w:szCs w:val="20"/>
          <w:color w:val="auto"/>
        </w:rPr>
      </w:pPr>
    </w:p>
    <w:p>
      <w:pPr>
        <w:ind w:left="60" w:right="519"/>
        <w:spacing w:after="0" w:line="260" w:lineRule="auto"/>
        <w:rPr>
          <w:sz w:val="20"/>
          <w:szCs w:val="20"/>
          <w:color w:val="auto"/>
        </w:rPr>
      </w:pPr>
      <w:r>
        <w:rPr>
          <w:rFonts w:ascii="Times New Roman" w:cs="Times New Roman" w:eastAsia="Times New Roman" w:hAnsi="Times New Roman"/>
          <w:sz w:val="18"/>
          <w:szCs w:val="18"/>
          <w:color w:val="auto"/>
        </w:rPr>
        <w:t>Secondary endpoints included duration of response, progression-free survival, overall survival, changes in circulating cytokines, and certain disease-specific biomarkers.</w:t>
      </w:r>
    </w:p>
    <w:p>
      <w:pPr>
        <w:spacing w:after="0" w:line="154"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w:t>
      </w:r>
    </w:p>
    <w:p>
      <w:pPr>
        <w:spacing w:after="0" w:line="200"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the cutoff date of December 19, 2022, AEs consistent with cytokine activation, including fever, nausea, chills, fatigue, headache, and dizziness were observed during the trial and were generally mild to moderate. SAEs experienced by six trial participants - one patient hospitalized with Grade 1 orthostatic hypotension, one patient hospitalized with Grade 3 hypotension and acute kidney injury (“AKI”), which resolved, one patient with Grade 3 hypothyroidism which resolved, one patient with Grade 3 colitis, one patient with Grade 3 generalized oedema, and one patient hospitalized with Grade 4/5 tumor lysis syndrome/AKI, which resulted in fatality after the patient voluntarily discontinued dialysis - were reported as related or possibly related to BXCL701 or pembrolizumab, though there was no evidence that BXCL701 potentiated immune-related AEs associated with CPIs.</w:t>
      </w:r>
    </w:p>
    <w:p>
      <w:pPr>
        <w:spacing w:after="0" w:line="151"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On October 10, 2023, we reported positive overall survival (OS) results from the Phase 2a portion of the trial in SCNC patients. BXCL701 in combination with pembrolizumab demonstrated a compelling median OS and 12-month survival rate. As of a data cutoff of September 6, 2023, evaluable patients with SCNC (n = 28) showed a median OS of 13.6 months (95% CI 10.9–NR), and a 12-month survival rate of 56.5%.</w:t>
      </w:r>
    </w:p>
    <w:p>
      <w:pPr>
        <w:spacing w:after="0" w:line="153"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On February 12, 2024 the Company announced that the FDA designated as a Fast Track development program the investigation of BXCL701 in combination with a checkpoint inhibitor for treatment of patients with metastatic SCNC with progression on chemotherapy and no evidence of microsatellite instability.</w:t>
      </w:r>
    </w:p>
    <w:p>
      <w:pPr>
        <w:spacing w:after="0" w:line="1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Updated results for this trial cohort were also presented at PCF 2023. BXCL701 in combination with pembrolizumab demonstrated a 21% (six out of 29 evaluable patients) composite response rate in mCRPC patients with adenocarcinoma phenotype, for whom there are limited treatment options. As of a cutoff date of September 6, 2023, five of these composite responders were RECIST 1.1 responders (four confirmed responses and one unconfirmed response) with decreases in tumor size ranging from -30% to -99% and a median duration of response to 19 months.</w:t>
      </w:r>
    </w:p>
    <w:p>
      <w:pPr>
        <w:spacing w:after="0" w:line="18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As of the cutoff date of December 19, 2022, the majority of AEs experienced by patients in the adenocarcinoma cohort were low grade. AEs consistent with cytokine activation were observed, including fever, myalgia, nausea, chills, fatigue, dyspnea, headache and dizziness. SAEs experienced by five patients (12%) were reported as possibly related to BXCL701 or pembrolizumab: two reports of hypotension; one report of dizziness; one report of peripheral edema; one report of pyrexia; one report of Myasthenia Gravis; and one report of Cytokine Release Syndrome. Two patients (5%) discontinued therapy due to AEs. There was no evidence that BXCL701 potentiated immune-related AEs related to CPIs. The table below summarizes treatment-related AEs observed in the adenocarcinoma cohort.</w:t>
      </w:r>
    </w:p>
    <w:p>
      <w:pPr>
        <w:spacing w:after="0" w:line="18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On November 8, 2023, we reported positive OS results from the Phase 2a portion of the trial in patients with adenocarcinoma. As of a data cutoff of September 6, 2023, among evaluable patients with adenocarcinoma (n = 29) BXCL701 in combination with pembrolizumab demonstrated a median OS of 15.5 months (95% CI 9.6–NR), and a 12-month survival rate of 59.3%.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202"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American Cancer Society estimates that in 2024, about 35,187 cases of SCLC will be diagnosed in the U.S. Approximately 60-70% of these patients present with extensive disease, and first-line therapy for a majority of these patients involves the combination of a CPI with platinum-based chemotherapy or etoposide.</w:t>
      </w:r>
    </w:p>
    <w:p>
      <w:pPr>
        <w:spacing w:after="0" w:line="135"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ongoing SCNC clinical trial. We are preparing the protocol for a Phase 1b/2 trial design to be a dose-escalation safety lead-in to establish a RP2D. However, the start of any such trial is paused following the Reprioritization.</w:t>
      </w:r>
    </w:p>
    <w:p>
      <w:pPr>
        <w:spacing w:after="0" w:line="3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202"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American Cancer Society estimates that in 2024, approximately 66,440 cases of pancreatic cancer will be diagnosed in the U.S. We are supporting a Phase 2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The human proof of concept portion of the trial is expected to start in the first half of 2024. On April 24, 2024, we announced that the late breaking abstract entitled “Phase II trial of BXCL701 and pembrolizumab in patients with metastatic pancreatic ductal adenocarcinoma (EXPEL-PANC): Preliminary findings,” was selected to participate in the presentation poster session at the 2024 American Society of Clinical Oncology (ASCO) Annual Meeting. The meeting will take place from May 31 to June 4, 2024 in Chicago, IL.</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189"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American Cancer Society estimates that in 2024, about 20,800 new cases of AML will be diagnosed in the U.S. We are supporting a Phase 1b IST sponsored by the Dana-Farber Cancer Institute (“Dana-Farber”) designed to evaluate the use of BXCL701, along with the current standard of care to treat relapsed or refractory AML. We believe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This trial started in the first quarter of 2023. Subject to successful completion of this Phase 1b trial, we anticipate that Dana-Farber will conduct further studies to determine BXCL701's objective response rate in AML in combination with the standard of care.</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7"/>
          <w:szCs w:val="17"/>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that were either refractory to CPI therapy or had relapsed while on CPI therapy, meaning that no further response to CPI treatment is anticipated among patients in the second cohort. Trial participants received 200 mg of pembrolizumab on day 1 of a 21-day cycle, with 0.2 mg of BXCL701 administered twice-daily (“BID”) on days 1 through 7 during the first cycle, the dose increasing to 0.3 mg BID on Days 8 through 14 during the first and the subsequent cycles. Evaluable trial participants were required to receive a minimum of two treatment cycles. A preliminary assessment of BXCL701 dosed in combination with a CPI, as of completion of the first stage, noted responses in one patient in each of the CPI naïve and CPI refractory/relapsed cohorts, including a partial response in CPI-naïve, microsatellite stable endometrial carcinoma, PD-L1 negative (CPS &lt;1) and a partial response in CPI-refractory uveal melanoma. These preliminary results were presented at the 2021 American Society of Clinical Oncology annual meeting (ASCO 2021). Patient enrollment in this trial was completed in the third quarter of 2022.</w:t>
      </w:r>
    </w:p>
    <w:p>
      <w:pPr>
        <w:spacing w:after="0" w:line="141"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4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Biomarker Development Initiatives Intended to Complement BXCL701 Administration</w:t>
      </w:r>
    </w:p>
    <w:p>
      <w:pPr>
        <w:spacing w:after="0" w:line="189"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 At the Society for Immunotherapy of Cancer’s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(SITC 2023), we presented data from the Phase 2a trial in SCNC patients, which indicated DPP9 overexpression is a potential response-predictive biomarker of BXCL701 and pembrolizumab combination treatment in mCRPC patients with SCNC phenotype.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20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inclusion in expedited development and review, data exclusivity, market exclusivity, and patent term extensions where available.</w:t>
      </w:r>
    </w:p>
    <w:p>
      <w:pPr>
        <w:spacing w:after="0" w:line="135"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of April 25, 2024, we have multiple patent families filed to protect our immuno-oncology program, including our core patent family directed to methods of using BXCL701 with immune checkpoint inhibitors, which is granted in the U.S., Japan, Australia, Canada, Russia, China, India, Taiwan, South Africa, Mexico, New Zealand, and United Arab Emirates, and with at least one pending application in the U.S., China, Mexico, the Republic of Korea, New Zealand, Russia, Australia, Brazil, Hong Kong, Argentina, Israel, Japan, Singapore, Taiwan, Patent Cooperation Treaty and Europe. Patents issued from this family, if any, are expected to expire no earlier than 2036. We have one additional patent issued in the U.S. directed to a method of selecting patients based on a biomarker, with an expected expiration date no earlier than 2039.</w:t>
      </w:r>
    </w:p>
    <w:p>
      <w:pPr>
        <w:spacing w:after="0" w:line="15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Additional applications are directed to administering BXCL701 in combinations with various other molecules, biomarkers, and dosing regimens. We also have one provisional application directed to novel formulations of BXCL701, various dosing regimens, methods of use, and combination therapies. We expect that a patent issued from this application, if any, will expire no earlier than 2044.</w:t>
      </w:r>
    </w:p>
    <w:p>
      <w:pPr>
        <w:spacing w:after="0" w:line="13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“—Neuroscience—Neuroscience Intellectual Property” and Part I, Item 1A, “Risk Factors - Risks Related to Our Intellectual Property.”</w:t>
      </w: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jc w:val="both"/>
        <w:ind w:left="60" w:right="279" w:firstLine="324"/>
        <w:spacing w:after="0" w:line="226" w:lineRule="auto"/>
        <w:rPr>
          <w:sz w:val="20"/>
          <w:szCs w:val="20"/>
          <w:color w:val="auto"/>
        </w:rPr>
      </w:pPr>
      <w:r>
        <w:rPr>
          <w:rFonts w:ascii="Times New Roman" w:cs="Times New Roman" w:eastAsia="Times New Roman" w:hAnsi="Times New Roman"/>
          <w:sz w:val="18"/>
          <w:szCs w:val="18"/>
          <w:color w:val="auto"/>
        </w:rPr>
        <w:t>Revenues relate to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months ended March 31, 2024 and 2023 were as follows: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6"/>
        </w:trPr>
        <w:tc>
          <w:tcPr>
            <w:tcW w:w="6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20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professional fees for audit and tax services and insurance charges. We may also incur costs to comply with corporate governance, internal controls, investor relations and disclosures and similar requirements applicable to public companies.</w:t>
      </w:r>
    </w:p>
    <w:p>
      <w:pPr>
        <w:spacing w:after="0" w:line="143" w:lineRule="exact"/>
        <w:rPr>
          <w:sz w:val="20"/>
          <w:szCs w:val="20"/>
          <w:color w:val="auto"/>
        </w:rPr>
      </w:pPr>
    </w:p>
    <w:p>
      <w:pPr>
        <w:ind w:left="60" w:right="199" w:firstLine="324"/>
        <w:spacing w:after="0" w:line="230" w:lineRule="auto"/>
        <w:rPr>
          <w:sz w:val="20"/>
          <w:szCs w:val="20"/>
          <w:color w:val="auto"/>
        </w:rPr>
      </w:pPr>
      <w:r>
        <w:rPr>
          <w:rFonts w:ascii="Times New Roman" w:cs="Times New Roman" w:eastAsia="Times New Roman" w:hAnsi="Times New Roman"/>
          <w:sz w:val="18"/>
          <w:szCs w:val="18"/>
          <w:color w:val="auto"/>
        </w:rPr>
        <w:t>With our Reprioritization substantially completed as of December 31, 2023, we expect that our selling, general and administrative expenses will decline due to the restructured commercialization plan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reduced personnel costs. However, we may also experience increased selling, general and administrative expenses due to higher fees for outside consultants, attorneys, and accountants.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August 8, 2023, our Board of Directors approved the Reprioritization. We took actions to reduce certain operational and workforce expenses that were no longer deemed core to ongoing operations in order to extend our cash runway and drive innovation and growth in high potential clinical development and value creating opportunities. These actions included a shift in commercial strategy for IGALMI™ in the institutional setting, a reduction of in-hospital commercialization expenses, a suspension of programs no longer determined to be core to ongoing operations, and a prioritization of at-home treatment setting opportunities for BXCL501.</w:t>
      </w:r>
    </w:p>
    <w:p>
      <w:pPr>
        <w:spacing w:after="0" w:line="14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Annual operating expenses are expected to be reduced by approximately $80,000. Management believes that, after giving effect to the Reprioritization, the Company’s cash and cash equivalents of $74,141 as of March 31, 2024 will allow the Company to fund its operations and meet its liquidity requirements into the second half of 2024.</w:t>
      </w:r>
    </w:p>
    <w:p>
      <w:pPr>
        <w:spacing w:after="0" w:line="15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for the year ended December 31, 2023. These costs consisted of severance and benefit payments of $4,063 and contract termination costs of $100, which were paid in cash. The Company paid $3,998 of severance and benefit costs and $100 of contract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82" w:lineRule="auto"/>
        <w:rPr>
          <w:sz w:val="20"/>
          <w:szCs w:val="20"/>
          <w:color w:val="auto"/>
        </w:rPr>
      </w:pPr>
      <w:r>
        <w:rPr>
          <w:rFonts w:ascii="Times New Roman" w:cs="Times New Roman" w:eastAsia="Times New Roman" w:hAnsi="Times New Roman"/>
          <w:sz w:val="18"/>
          <w:szCs w:val="18"/>
          <w:color w:val="auto"/>
        </w:rPr>
        <w:t>termination costs during the year ended December 31, 2023. As of December 31, 2023, the Reprioritization was substantially completed and the remaining costs were paid during the three months ended March 31, 2024.</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as our loans provided under the Credit Agreement are subject to floating interest rates following our December 2023 amendment to the Credit Agreement and, if we meet required milestones, we may draw down additional funds under the Credit Agreement.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to the condensed consolidated financial statements included elsewhere in this Quarterly Report on Form 10-Q.</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ind w:left="60" w:right="159" w:firstLine="324"/>
        <w:spacing w:after="0" w:line="222"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launched in July 2022. 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hospital/contracting strategy with a CAD team. The goal of the realigned CAD team is to work with large IDNs and drive sales utilizing a top-down approach, allowing the Company to continue to make inroads into the institutional market in a more cost-efficient manner.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revenue, net was $582 and $206 in the three months ended March 31, 2024 and 2023, respectively. The increase in sales was primarily due to increased market penetration, resulting from the implementation of our new sales strategy.</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419" w:firstLine="324"/>
        <w:spacing w:after="0" w:line="236" w:lineRule="auto"/>
        <w:rPr>
          <w:sz w:val="20"/>
          <w:szCs w:val="20"/>
          <w:color w:val="auto"/>
        </w:rPr>
      </w:pPr>
      <w:r>
        <w:rPr>
          <w:rFonts w:ascii="Times New Roman" w:cs="Times New Roman" w:eastAsia="Times New Roman" w:hAnsi="Times New Roman"/>
          <w:sz w:val="17"/>
          <w:szCs w:val="17"/>
          <w:color w:val="auto"/>
        </w:rPr>
        <w:t>Cost of goods sold for the three months ended March 31, 2024 and 2023, were $80 and $9, respectively. Cost of goods sold is primarily related to the costs to produce, package and deliver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for ongoing clinical trials of our product candidate BXCL501, subject to certain alternative supply provisions. The increase in Cost of goods sold for the three months ended March 31, 2024 is the result of the increase in the units sold compared to the same prior year period and</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increase in the reserve for excess and obsolete inventory. There were no charges for reserves for excess or obsolete inventory in the three months ended March 31, 2023.</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and 2023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$16,399 for the three months ended March 31, 2024 relative to the same period in 2023 was primarily attributable to:</w:t>
      </w:r>
    </w:p>
    <w:p>
      <w:pPr>
        <w:spacing w:after="0" w:line="135" w:lineRule="exact"/>
        <w:rPr>
          <w:sz w:val="20"/>
          <w:szCs w:val="20"/>
          <w:color w:val="auto"/>
        </w:rPr>
      </w:pPr>
    </w:p>
    <w:p>
      <w:pPr>
        <w:ind w:left="720" w:right="19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trials expense as a result of reduced costs associated with the wind down of the SERENITY III study evaluating BXCL501 for at-home use for the acute treatment of agitation related to schizophrenia and bipolar disorders, as well as the TRANQUILITY II study of BXCL501 for the potential treatment of agitation in patients with Alzheimer’s disease.</w:t>
      </w:r>
    </w:p>
    <w:p>
      <w:pPr>
        <w:spacing w:after="0" w:line="139"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and toxicology costs.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Reprioritization.</w:t>
      </w:r>
    </w:p>
    <w:p>
      <w:pPr>
        <w:spacing w:after="0" w:line="198"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 associated with producing materials for our clinical trials of BXCL501 and BXCL701 for the treatment of prostate and lung cancers due to decreased clinical trial activities.</w:t>
      </w:r>
    </w:p>
    <w:p>
      <w:pPr>
        <w:spacing w:after="0" w:line="12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2024 and 2023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$10,331 for the three months ended March 31, 2024, relative to the same period in 2023 was primarily attributable to:</w:t>
      </w:r>
    </w:p>
    <w:p>
      <w:pPr>
        <w:spacing w:after="0" w:line="121"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Reprioritization.</w:t>
      </w:r>
    </w:p>
    <w:p>
      <w:pPr>
        <w:spacing w:after="0" w:line="198"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professional fees, primarily related to higher legal costs related to our financing activities and higher corporate operating support levels, primarily offset by reductions in consulting fees.</w:t>
      </w:r>
    </w:p>
    <w:p>
      <w:pPr>
        <w:spacing w:after="0" w:line="121" w:lineRule="exact"/>
        <w:rPr>
          <w:rFonts w:ascii="Times New Roman" w:cs="Times New Roman" w:eastAsia="Times New Roman" w:hAnsi="Times New Roman"/>
          <w:sz w:val="18"/>
          <w:szCs w:val="18"/>
          <w:color w:val="auto"/>
        </w:rPr>
      </w:pPr>
    </w:p>
    <w:p>
      <w:pPr>
        <w:ind w:left="720" w:right="299" w:hanging="319"/>
        <w:spacing w:after="0" w:line="28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 as result of higher spending in 2023 related to media, marketing and data and business analytics costs associated with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travel and other costs as a result of the commercial launch activities that occurred in 2023 and the Reprioritization impact on 2024.</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the Reprioritization.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restructuring costs charged in the three months ended March 31, 2024 and 2023, respectively.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$3,607 for the three months ended March 31, 2024 from $3,367 in the same period in 2023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$947 for the three months ended March 31, 2024 compared to $2,015 for three months ended March 31, 2023, due to lower average cash balances during the year. Other (income) expense, net is primarily associated with changes in fair value of derivative financial instruments for the period, which relate to instruments associated with the Credit Agreement and the March 2024 registered direct equity offering.</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8"/>
          <w:szCs w:val="18"/>
          <w:i w:val="1"/>
          <w:iCs w:val="1"/>
          <w:color w:val="auto"/>
        </w:rPr>
        <w:t>Healthcare reform measures could hinder or prevent our</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product candidates’ commercial success.</w:t>
      </w:r>
      <w:r>
        <w:rPr>
          <w:rFonts w:ascii="Times New Roman" w:cs="Times New Roman" w:eastAsia="Times New Roman" w:hAnsi="Times New Roman"/>
          <w:sz w:val="18"/>
          <w:szCs w:val="18"/>
          <w:color w:val="auto"/>
        </w:rPr>
        <w:t>” in Part II, Item 1A, “Risk Factors” elsewhere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of March 31, 2024, we had cash and cash equivalents of $74,141, working capital of $49,436 and stockholders’ deficit of $617,389. Net cash used in operating activities was $17,706 and $52,353 for the three months ended March 31, 2024 and 2023, respectively. We incurred losses of approximately $26,791 and $52,796 for the three months ended March 31, 2024 and 2023,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 on Form 10-Q.</w:t>
      </w:r>
    </w:p>
    <w:p>
      <w:pPr>
        <w:spacing w:after="0" w:line="151"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56" w:lineRule="exact"/>
        <w:rPr>
          <w:sz w:val="20"/>
          <w:szCs w:val="20"/>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 Need for Additional Capital — We will need substantial additional funding, and if we are unable to raise capital when needed, we could be forced to delay, reduce or eliminate our product development programs or commercialization efforts or otherwise seek strategic alternatives.” in Part II. Item 1A., “Risk Factors” elsewhere in this Quarterly Report on Form 10-Q.</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jc w:val="both"/>
        <w:ind w:left="60" w:right="279" w:firstLine="324"/>
        <w:spacing w:after="0" w:line="233"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(the “Sale Agreement”) with Jefferies LLC (“Jefferies”),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borrowings under strategic financing arrangements (as described below). We have not yet established an ongoing source of revenue sufficient to cover our operating costs and will need to do so in future periods.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189" w:lineRule="exact"/>
        <w:rPr>
          <w:sz w:val="20"/>
          <w:szCs w:val="20"/>
          <w:color w:val="auto"/>
        </w:rPr>
      </w:pPr>
    </w:p>
    <w:p>
      <w:pPr>
        <w:ind w:left="60" w:right="219" w:firstLine="324"/>
        <w:spacing w:after="0" w:line="241" w:lineRule="auto"/>
        <w:rPr>
          <w:sz w:val="20"/>
          <w:szCs w:val="20"/>
          <w:color w:val="auto"/>
        </w:rPr>
      </w:pPr>
      <w:r>
        <w:rPr>
          <w:rFonts w:ascii="Times New Roman" w:cs="Times New Roman" w:eastAsia="Times New Roman" w:hAnsi="Times New Roman"/>
          <w:sz w:val="18"/>
          <w:szCs w:val="18"/>
          <w:color w:val="auto"/>
        </w:rPr>
        <w:t>In April 2022, we entered into two financing agreements: the Credit Agreement and the RIFA. Pursuant to the Credit Agreement, the Lenders originally agreed to provide us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development and commercialization of BXCL501 and other general corporate purposes. On July 8, 2022, we drew down the first tranche of $30,000 under the RIFA. In connection with the Credit Agreement, we granted to the Lenders (i) warrants to purchase up to 278 shares of our common stock (the “Original Warrants”), (ii) rights to purchase up to $5,000 of our common stock and (iii) warrants to purchase up to 175 individual ownership units (i.e., not in thousands) in OnkosXcel (the “OnkosXcel Warrants”).</w:t>
      </w:r>
    </w:p>
    <w:p>
      <w:pPr>
        <w:spacing w:after="0" w:line="15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November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are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6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In December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p>
      <w:pPr>
        <w:spacing w:after="0" w:line="147" w:lineRule="exact"/>
        <w:rPr>
          <w:sz w:val="20"/>
          <w:szCs w:val="20"/>
          <w:color w:val="auto"/>
        </w:rPr>
      </w:pPr>
    </w:p>
    <w:p>
      <w:pPr>
        <w:ind w:left="1040" w:right="459" w:hanging="315"/>
        <w:spacing w:after="0" w:line="255"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48" w:lineRule="exact"/>
        <w:rPr>
          <w:rFonts w:ascii="Times New Roman" w:cs="Times New Roman" w:eastAsia="Times New Roman" w:hAnsi="Times New Roman"/>
          <w:sz w:val="18"/>
          <w:szCs w:val="18"/>
          <w:color w:val="auto"/>
        </w:rPr>
      </w:pPr>
    </w:p>
    <w:p>
      <w:pPr>
        <w:ind w:left="1040" w:right="299" w:hanging="315"/>
        <w:spacing w:after="0" w:line="254"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$30,000 “Tranche C” term loan available upon satisfaction of the following conditions on or before December 31, 2025: (i) either (a) receipt of approval from the FDA of an sNDA in respect of the use of 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64" w:lineRule="exact"/>
        <w:rPr>
          <w:rFonts w:ascii="Times New Roman" w:cs="Times New Roman" w:eastAsia="Times New Roman" w:hAnsi="Times New Roman"/>
          <w:sz w:val="18"/>
          <w:szCs w:val="18"/>
          <w:color w:val="auto"/>
        </w:rPr>
      </w:pPr>
    </w:p>
    <w:p>
      <w:pPr>
        <w:ind w:left="1040" w:right="33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spacing w:after="0" w:line="282" w:lineRule="auto"/>
        <w:rPr>
          <w:sz w:val="20"/>
          <w:szCs w:val="20"/>
          <w:color w:val="auto"/>
        </w:rPr>
      </w:pPr>
      <w:r>
        <w:rPr>
          <w:rFonts w:ascii="Times New Roman" w:cs="Times New Roman" w:eastAsia="Times New Roman" w:hAnsi="Times New Roman"/>
          <w:sz w:val="18"/>
          <w:szCs w:val="18"/>
          <w:color w:val="auto"/>
        </w:rPr>
        <w:t>(for the avoidance of doubt, including any revenues attributable to use of BXCL501 for opioid withdrawal) for the trailing twelve consecutive month period exceeding a specified amount.</w:t>
      </w:r>
    </w:p>
    <w:p>
      <w:pPr>
        <w:spacing w:after="0" w:line="135"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Second Amendment also modified the interest rate of the loans provided under the Credit Agreement to be a floating rate per annum equal to the secured overnight financing rate (“SOFR”) (subject to a SOFR floor of 2.5% and a cap of 5.5%) plus 7.5%.</w:t>
      </w:r>
    </w:p>
    <w:p>
      <w:pPr>
        <w:spacing w:after="0" w:line="13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Following the Second Amendment, we must also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 to meet the minimum revenue requirement. The Revenue Covenant applies beginning with the six-month period ending on December 31, 2024. If we fail to meet the minimum Revenue Covenant for the preceding six-month periods ending on December 31, 2024, March 31, 2025, June 30, 2025 and September 30, 2025, we could be required to make revenue cure payments of up to $4,500, $6,200, $8,500, and $8,500, respectively, plus aggregate prepayment fees of $1,900. Under the Credit Agreement, these cure payments would be due on April 21, 2025, June 6, 2025, September 5, 2025 and December 8, 2025, respectively. We are only permitted to make cure payments for revenue shortfalls up to three times during the term of the Credit Agreement, after which we would default on the Credit Agreement if we are unable to satisfy the minimum revenue requirement for any subsequent fiscal quarter. As of March 31, 2024, we had aggregate principal indebtedness of $103,896 outstanding under the Credit Agreement.</w:t>
      </w:r>
    </w:p>
    <w:p>
      <w:pPr>
        <w:spacing w:after="0" w:line="15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Original Warrants granted to the Lenders on April 19, 2022 to purchase up to 278 shares of the Company’s common stock at an exercise price of $20.04 per share. Pursuant to the amendment and restatement of the Original Warrants, dated December 5, 2023 (the “Amended and Restated Original Warrants”), the exercise price of the Original Warrants has been reduced to $3.6452 per share, which represents the arithmetic average of the volume-weighted average price of the Company’s common stock on the Nasdaq Capital Market during the 30 trading days preceding the Second Amendment Effective Date. In addition, the Company granted new warrants to the Lenders to purchase up to 70 shares of the Company’s common stock (the “2023 Warrant Shares”) at an exercise price of $3.6452 per share (the “2023 Warrants”). The Original Warrants and the 2023 Warrants will expire on April 19, 2029 and may be net exercised at the holder’s election.</w:t>
      </w:r>
    </w:p>
    <w:p>
      <w:pPr>
        <w:spacing w:after="0" w:line="161"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On March 20, 2024 (the “Effective Date”), we entered into the Fourth Amendment to the Credit Agreement (“the Fourth Amendment”), pursuant to which the Lenders waived the covenant that we not receive a report and opinion from our independent registered public accounting firm that contains a “going concern” or similar qualification with respect to our financial statements for the year ended December 31, 2023. Accordingly, while our independent registered public accounting firm’s report contained in our Annual Report on Form 10-K for the year ended December 31, 2023 contains a “going concern” explanatory paragraph, it does not constitute an event of default under the Credit Agreement.</w:t>
      </w:r>
    </w:p>
    <w:p>
      <w:pPr>
        <w:spacing w:after="0" w:line="14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Fourth Amendment includes covenants that we will receive, (i) after the Effective Date and on or before April 15, 2024, at least $25,000 in gross proceeds from the issuance of our common stock, warrants and/or pre-funded warrants, and/or in non-refundable cash consideration from partnering transactions entered into after the Effective Date (so long as such partnering transactions would not require us or any of our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4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addition, the Fourth Amendment provides that if we have not, after the Effective Date and on or before September 30, 2024, received at least $40,000 in gross proceeds from the issuance of our common stock, warrants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we are required to maintain at all times will increase to $25,000 from $15,000, unless and until we have received, after the Effective Date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w:t>
      </w:r>
    </w:p>
    <w:p>
      <w:pPr>
        <w:spacing w:after="0" w:line="16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Fourth Amendment, on the Effective Date, we granted new warrants to the Lenders to purchase up to 100 shares of our common stock (the “2024 Warrant Shares”) at an exercise price of $3.0723 per share (the “2024 Warrants”), which represents a 10% premium over the arithmetic average of the volume-weighted average price of our common stock on the Nasdaq Capital Market during the 30 trading days preceding the Effective Date. The 2024 Warrants will expire on April 19, 2029 and may be net exercised at the holder’s election.</w:t>
      </w:r>
    </w:p>
    <w:p>
      <w:pPr>
        <w:spacing w:after="0" w:line="14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addition, pursuant to the Credit Agreement, the Lenders have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Original Warrants, 2023 Warrants and, if issued, the shares related to the Equity Investment Right, for resale. The maximum shares of our common stock issuable under the Original Warrants, the 2023 Warrants and the Lenders’ Equity Investment Right is 5,852.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4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5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included elsewhere in this Quarterly Report on Form 10-Q for additional information relating to the Credit Agreement and RIFA, including applicable interest rates, payment obligations and certain restrictive and financial covenants thereunder. As of March 31, 2024, we were in compliance with all restrictive and financial covenants under the Credit Agreement.</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could offer and sell shares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having an aggregate offering price of up to $100,000, from time to time, through an “at the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offering” program under which Jefferies will act as sale agent. On November 1, 2023, we entered into an amendment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Sale Agreement with Jefferies to increase the size of the “at the market offering” program; pursuant to the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as amended, we can offer and sell shares of our common stock having an aggregate offering price of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$150,000 (excluding any shares of common stock already sold in the “at the market offering” program prior to the date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amendment), from time to time, through an “at the market offering” program under which Jefferies will act as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agent. During the year ended December 31, 2023, we sold 1,408 shares under the Sale Agreement for net proceeds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$26,221. From January 1, 2024 through March 31, 2024, we sold 647 shares under the Sale Agreement for gross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$1,743 and received proceeds of $1,691, net of issuance costs of $52.</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 Activities</w:t>
      </w:r>
    </w:p>
    <w:p>
      <w:pPr>
        <w:spacing w:after="0" w:line="187" w:lineRule="exact"/>
        <w:rPr>
          <w:sz w:val="20"/>
          <w:szCs w:val="20"/>
          <w:color w:val="auto"/>
        </w:rPr>
      </w:pPr>
    </w:p>
    <w:p>
      <w:pPr>
        <w:ind w:left="60" w:right="139" w:firstLine="405"/>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included elsewhere in this Quarterly Report on Form 10-Q, 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3,055 shares (the “Shares”) of common stock, par value $0.001 per share, and accompanying warrants (the “Accompanying Warrants”) to purchase up to 3,055 shares of common stock at an offering price of $2.901 per Share and Accompanying Warrant and pre-funded warrants (the “Pre-Funded Warrants”) to purchase up to 5,565 shares of common stock and Accompanying Warrants to purchase up to 5,565 shares of common stock, at an offering price of $2.900 per share underlying each Pre-Funded Warrant and Accompanying Warrant, which equals the offering price per Share and Accompanying Warrant less the $0.001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The Company intends to use the proceeds from the Offering, together with its existing cash and cash equivalents, to fund planned clinical trials of BXCL501, commercialization activities for IGALMI™ and for working capital and other general corporate purposes.</w:t>
      </w:r>
    </w:p>
    <w:p>
      <w:pPr>
        <w:spacing w:after="0" w:line="197" w:lineRule="exact"/>
        <w:rPr>
          <w:sz w:val="20"/>
          <w:szCs w:val="20"/>
          <w:color w:val="auto"/>
        </w:rPr>
      </w:pPr>
    </w:p>
    <w:p>
      <w:pPr>
        <w:ind w:left="60" w:right="219" w:firstLine="405"/>
        <w:spacing w:after="0" w:line="258"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w:t>
      </w:r>
    </w:p>
    <w:p>
      <w:pPr>
        <w:spacing w:after="0" w:line="183" w:lineRule="exact"/>
        <w:rPr>
          <w:sz w:val="20"/>
          <w:szCs w:val="20"/>
          <w:color w:val="auto"/>
        </w:rPr>
      </w:pPr>
    </w:p>
    <w:p>
      <w:pPr>
        <w:ind w:left="60" w:right="279" w:firstLine="405"/>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$3.20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failed to meet the requirements to be indexed to equity and equity classified, and meet the definition of a derivative instrument. Therefore, these instruments are recorded as Derivative liabilities in the Condensed Consolidated Balance Sheet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(17,706)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(52,353)</w:t>
            </w: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399"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$17,706 and was primarily attributable to our net loss of $26,791, a $448 increase in Inventory, a $307 increase in Accounts receivable and a $619 reduction in Accrued interest, in part offset by $3,433 of non-cash stock-based compensation, a $4,826 increase in accounts payable, accrued expenses due to related parties, and other current liabilities, and a $901 decrease in prepaid expenses, other current assets and other assets. The decrease in cash used in operating activities compared to the prior year reflects our actions taken under the Reprioritization.</w:t>
      </w:r>
    </w:p>
    <w:p>
      <w:pPr>
        <w:spacing w:after="0" w:line="147" w:lineRule="exact"/>
        <w:rPr>
          <w:sz w:val="20"/>
          <w:szCs w:val="20"/>
          <w:color w:val="auto"/>
        </w:rPr>
      </w:pPr>
    </w:p>
    <w:p>
      <w:pPr>
        <w:ind w:left="60" w:right="299" w:firstLine="324"/>
        <w:spacing w:after="0" w:line="242"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2023 was $52,353, which was primarily attributable to our net loss of $52,796, which is due to our being in the early stages of commercial launch of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our continued product development efforts, offset by $4,877 in non-cash stock-based compensation. We also paid down balances to vendors during the period and prepaid certain neuroscience related clinical trial expenses.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investing activities in the three months ended March 31, 2024 and 2023.</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$26,626 and was attributable to $25,000 proceeds received from the sale of common stock and warrants under the March 2024 registered direct offering and the net proceeds received from the sale of common stock under the Sale Agreement with Jefferies of $1,691.</w:t>
      </w:r>
    </w:p>
    <w:p>
      <w:pPr>
        <w:spacing w:after="0" w:line="13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was $24,149 and was primarily attributable to net proceeds received from the sale of common stock under the Sale Agreement with Jefferies of $23,918 and the exercise of stock options.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02" w:lineRule="exact"/>
        <w:rPr>
          <w:sz w:val="20"/>
          <w:szCs w:val="20"/>
          <w:color w:val="auto"/>
        </w:rPr>
      </w:pPr>
    </w:p>
    <w:p>
      <w:pPr>
        <w:ind w:left="60" w:right="319" w:firstLine="324"/>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60"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24"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ind w:left="720" w:right="33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20" w:right="299" w:hanging="319"/>
        <w:spacing w:after="0" w:line="215" w:lineRule="auto"/>
        <w:tabs>
          <w:tab w:leader="none" w:pos="7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any product candidates for which we may obtain regulatory approval; and</w:t>
      </w: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5"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March 31, 2024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In particular, after giving effect to the Reprioritization, we believe that our cash and cash equivalents of $74,141 as of March 31, 2024 will allow us to fund our operations and meet our liquidity requirements into the second half of 2024. We expect that we will need to obtain substantial additional funding to fund our ongoing operations and planned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The minimum commitment for 2024 is $5,000.</w:t>
      </w:r>
    </w:p>
    <w:p>
      <w:pPr>
        <w:spacing w:after="0" w:line="13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53"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$743 of payments remaining under the HQ Lease. For additional details, see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 Notes to Condensed Consolidated Financial Statements included in this Quarterly Report on Form 10-Q for additional information relating to the Company’s leases.</w:t>
      </w:r>
    </w:p>
    <w:p>
      <w:pPr>
        <w:spacing w:after="0" w:line="12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respectively, as well as potential Revenue Covenant cure payments under the Credit Agreement. For additional details, see Note 9, </w:t>
      </w:r>
      <w:r>
        <w:rPr>
          <w:rFonts w:ascii="Times New Roman" w:cs="Times New Roman" w:eastAsia="Times New Roman" w:hAnsi="Times New Roman"/>
          <w:sz w:val="18"/>
          <w:szCs w:val="18"/>
          <w:i w:val="1"/>
          <w:iCs w:val="1"/>
          <w:color w:val="auto"/>
        </w:rPr>
        <w:t>Debt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Notes to Condensed Consolidated Financial Statements included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 for additional information relating to the Company’s debt payment obligations. See also “— Sources of Liquidity” for additional information regarding anticipated amendments to the Company’s debt payment obligations.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2023. We have reviewed and determined that those critical accounting policies and estimates remain our critical accounting policies and estimates as of and for the three months ended March 31, 2024. No material changes were made to our existing critical accounting policies and estimates during the period presented.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elsewhere in this Form 10-Q.</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we had $74,141 of cash and cash equivalents. Our cash and cash equivalents are primarily held in money market funds that hold U.S. government cash equivalent instruments. We do not participate in any foreign currency hedging activities and have limited exposure to other derivative financial instruments, primarily resulting from the terms and conditions of the OFA Facilities. We did not recognize any significant exchange rate losses during the three months ended March 31, 2024 and 2023.</w:t>
      </w:r>
    </w:p>
    <w:p>
      <w:pPr>
        <w:spacing w:after="0" w:line="143"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loans under the Credit Agreement bear interest at a variable annual rate of the Secured Overnight Financing Rate (“Term SOFR”) (but not less than 2.5% or more than 5.5%) plus 7.5% payable quarterly. Consequently, we have material interest rate exposure due to our indebtedness, however this risk is hedged in part by the floor and ceiling on TERM SOFR rates.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Capital Market Risk</w:t>
      </w:r>
    </w:p>
    <w:p>
      <w:pPr>
        <w:spacing w:after="0" w:line="20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2024,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2024 that have materially affected, or are reasonably likely to materially affect, our internal control over financial reporting.</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our unaudited condensed consolidated financial statements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for information regarding material legal proceedings.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general economic and business risks and the other information in this Quarterly Report on Form 10-Q and our Annual Report on Form 10-K for the fiscal year ended December 31, 2023.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3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3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32" w:lineRule="exact"/>
        <w:rPr>
          <w:sz w:val="20"/>
          <w:szCs w:val="20"/>
          <w:color w:val="auto"/>
        </w:rPr>
      </w:pPr>
    </w:p>
    <w:p>
      <w:pPr>
        <w:ind w:left="60" w:right="259" w:firstLine="324"/>
        <w:spacing w:after="0" w:line="24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$26.8 million and $52.8 million for the three months ended March 31, 2024 and 2023, respectively. As of March 31, 2024, we had a stockholders’ deficit of approximately $72.4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may increase in the long term as we:</w:t>
      </w:r>
    </w:p>
    <w:p>
      <w:pPr>
        <w:spacing w:after="0" w:line="157"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26" w:lineRule="exact"/>
        <w:rPr>
          <w:rFonts w:ascii="Times New Roman" w:cs="Times New Roman" w:eastAsia="Times New Roman" w:hAnsi="Times New Roman"/>
          <w:sz w:val="18"/>
          <w:szCs w:val="18"/>
          <w:color w:val="auto"/>
        </w:rPr>
      </w:pPr>
    </w:p>
    <w:p>
      <w:pPr>
        <w:ind w:left="720" w:right="399" w:hanging="319"/>
        <w:spacing w:after="0" w:line="217"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98"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2"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Although we have obtained U.S.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8"/>
          <w:szCs w:val="18"/>
          <w:i w:val="1"/>
          <w:iCs w:val="1"/>
          <w:color w:val="auto"/>
        </w:rPr>
        <w:t>Developments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3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related reduction in force may not achieve our intended outcome.</w:t>
      </w:r>
    </w:p>
    <w:p>
      <w:pPr>
        <w:spacing w:after="0" w:line="229" w:lineRule="exact"/>
        <w:rPr>
          <w:sz w:val="20"/>
          <w:szCs w:val="20"/>
          <w:color w:val="auto"/>
        </w:rPr>
      </w:pPr>
    </w:p>
    <w:p>
      <w:pPr>
        <w:ind w:left="60" w:right="139" w:firstLine="324"/>
        <w:spacing w:after="0" w:line="239" w:lineRule="auto"/>
        <w:rPr>
          <w:sz w:val="20"/>
          <w:szCs w:val="20"/>
          <w:color w:val="auto"/>
        </w:rPr>
      </w:pPr>
      <w:r>
        <w:rPr>
          <w:rFonts w:ascii="Times New Roman" w:cs="Times New Roman" w:eastAsia="Times New Roman" w:hAnsi="Times New Roman"/>
          <w:sz w:val="18"/>
          <w:szCs w:val="18"/>
          <w:color w:val="auto"/>
        </w:rPr>
        <w:t>In August 2023, we announced a broad-based strategic reprioritization (the “Reprioritization”).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we reduced our workforce by approximately 60%. As of December 31, 2023, the Reprioritization was substantially completed.</w:t>
      </w:r>
    </w:p>
    <w:p>
      <w:pPr>
        <w:spacing w:after="0" w:line="203"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80" w:lineRule="exact"/>
        <w:rPr>
          <w:sz w:val="20"/>
          <w:szCs w:val="20"/>
          <w:color w:val="auto"/>
        </w:rPr>
      </w:pPr>
    </w:p>
    <w:p>
      <w:pPr>
        <w:ind w:left="60" w:right="139" w:firstLine="324"/>
        <w:spacing w:after="0" w:line="224"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May 2024, we initiated a further workforce reduction,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w:t>
      </w:r>
    </w:p>
    <w:p>
      <w:pPr>
        <w:spacing w:after="0" w:line="176"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3" w:lineRule="exact"/>
        <w:rPr>
          <w:sz w:val="20"/>
          <w:szCs w:val="20"/>
          <w:color w:val="auto"/>
        </w:rPr>
      </w:pPr>
    </w:p>
    <w:p>
      <w:pPr>
        <w:ind w:left="60" w:right="139" w:firstLine="324"/>
        <w:spacing w:after="0" w:line="237" w:lineRule="auto"/>
        <w:rPr>
          <w:sz w:val="20"/>
          <w:szCs w:val="20"/>
          <w:color w:val="auto"/>
        </w:rPr>
      </w:pPr>
      <w:r>
        <w:rPr>
          <w:rFonts w:ascii="Times New Roman" w:cs="Times New Roman" w:eastAsia="Times New Roman" w:hAnsi="Times New Roman"/>
          <w:sz w:val="18"/>
          <w:szCs w:val="18"/>
          <w:color w:val="auto"/>
        </w:rPr>
        <w:t>We may be required to expend significant funds to continue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Management believes that, after giving effect to the Reprioritization, the Company’s cash and cash equivalents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$74.1 million as of March 31, 2024 will allow the Company to fund its operations and meet its liquidity requirements into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second half of 2024. However, the ultimate expected cost benefit resulting from the Reprioritization cannot be assured,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there can be no assurance that we will be able to extend our cash runway by meeting the conditions for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funding under the terms of our Credit Agreement (defined below) or otherwise. In addition, the failure to raise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financing in accordance with the minimum capital raising requirements of our Credit Agreement would trigger an event of</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default thereunder. The Fourth Amendment to our Credit Agreement includes covenants that we will receive, (i) after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20, 2024, which is the effective date of the Fourth Amendment, and on or before April 15, 2024, at least $25.0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in gross proceeds from the issuance of our common stock, warrants and/or pre-funded warrants, and/or in non-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refundable cash consideration from partnering transactions entered into after March 20, 2024 (so long as such partnering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would not require us or any of our subsidiaries to make any cash investments in connection with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partnering transactions and no such cash investments are made), and (ii) after March 20, 2024 and on or before November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2024, at least $50.0 million (for the avoidance of doubt, inclusive of amounts previously counted toward the preceding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clause (i)) in gross proceeds from the issuance of our common stock, warrants and/or pre-funded warrants, and/or in cash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and/or non-cash consideration (measured at fair market value, as determined by the Administrative Agent (as defined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Credit Agreement) in its sole discretion from partnering transactions entered into after March 20, 2024. Failure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perform this covenant would constitute (A) a default under the Credit Agreement and (B) an event of default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subject to a cure period in the case of clause (i) of the preceding sentence, until May 15, 2024.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avoidance of doubt, failure to perform clause (ii) would constitute an immediate event of default under the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without any cure or grace period.</w:t>
      </w:r>
    </w:p>
    <w:p>
      <w:pPr>
        <w:spacing w:after="0" w:line="16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43" w:lineRule="exact"/>
        <w:rPr>
          <w:sz w:val="20"/>
          <w:szCs w:val="20"/>
          <w:color w:val="auto"/>
        </w:rPr>
      </w:pPr>
    </w:p>
    <w:p>
      <w:pPr>
        <w:ind w:left="720" w:right="4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pacing w:after="0" w:line="134"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76"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73" w:lineRule="exact"/>
        <w:rPr>
          <w:rFonts w:ascii="Times New Roman" w:cs="Times New Roman" w:eastAsia="Times New Roman" w:hAnsi="Times New Roman"/>
          <w:sz w:val="18"/>
          <w:szCs w:val="18"/>
          <w:color w:val="auto"/>
        </w:rPr>
      </w:pPr>
    </w:p>
    <w:p>
      <w:pPr>
        <w:ind w:left="720" w:right="8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current and future product candidates;</w:t>
      </w:r>
    </w:p>
    <w:p>
      <w:pPr>
        <w:sectPr>
          <w:pgSz w:w="11900" w:h="16838" w:orient="portrait"/>
          <w:cols w:equalWidth="0" w:num="1">
            <w:col w:w="9019"/>
          </w:cols>
          <w:pgMar w:left="1440" w:top="513" w:right="1440" w:bottom="1440" w:gutter="0" w:footer="0" w:header="0"/>
        </w:sect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8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56" w:lineRule="exact"/>
        <w:rPr>
          <w:sz w:val="20"/>
          <w:szCs w:val="20"/>
          <w:color w:val="auto"/>
        </w:rPr>
      </w:pPr>
    </w:p>
    <w:p>
      <w:pPr>
        <w:ind w:left="60" w:right="3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we had aggregate principal indebtedness of $103.9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a minimum cash liquidity amount of $15 million (or higher upon certain events, including as described in the Fourth Amendment to the Credit Agreement described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condensed consolidated financial statements included elsewhere in this Quarterly Report on Form 10-Q) and a minimum revenue requirement measured on a quarterly basis based on the revenue attributable to BXCL501 for the six consecutive month period ending on the last day of the relevant quarter, subject to cure payments of not less than $1.0 million if we fail to meet the minimum revenue requirement. The minimum revenue requirement applies beginning with the preceding six-month period ending on December 31, 2024, and ranges from approximately $4.5 million for the fourth quarter of 2024 to approximately $47.9 million for the first quarter of 2027. If we fail to meet the minimum revenue requirements for the preceding six-month periods ending on December 31, 2024, March 31, 2025, June 30, 2025 and September 30, 2025, we could be required to make revenue cure payments for the revenue shortfalls of up to $4.5 million, $6.2 million, $8.5 million, and $8.5 million, respectively, plus aggregate prepayment fees of $1.9 million. Under the Credit Agreement, these cure payments would be due on April 21, 2025, June 6, 2025, September 5, 2025 and December 8, 2025, respectively. We are only permitted to make cure payments for revenue shortfalls up to three times during the term of the Credit Agreement, after which we would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9" w:lineRule="auto"/>
        <w:rPr>
          <w:sz w:val="20"/>
          <w:szCs w:val="20"/>
          <w:color w:val="auto"/>
        </w:rPr>
      </w:pPr>
      <w:r>
        <w:rPr>
          <w:rFonts w:ascii="Times New Roman" w:cs="Times New Roman" w:eastAsia="Times New Roman" w:hAnsi="Times New Roman"/>
          <w:sz w:val="17"/>
          <w:szCs w:val="17"/>
          <w:color w:val="auto"/>
        </w:rPr>
        <w:t>default on the Credit Agreement if we are unable to satisfy the minimum revenue requirement for any subsequent fiscal quarter. In addition, certain events, including certain regulatory events and any “going concern” or similar qualification in a report of the Company’s independent registered public accountants relating to the Company’s annual financial statements, constitute an event of default under the Credit Agreement. The report of our independent registered public accounting firm included in the Annual Report on Form 10-K for the year ended December 31, 2023 contains a “going concern” explanatory paragraph. In March 2024 we entered into a Fourth Amendment to the Credit Agreement, pursuant to which the Lenders waived compliance with this covenant with respect to the report contained in the Annual Report on Form 10-K for the year ended December 31, 2023. The Fourth Amendment to the Credit Agreement also includes other covenants relating to minimum cash liquidity covenants and minimum capital raising requirements and failure to comply with such obligations, or other obligations required under the Credit Agreement, could trigger an event of default. Certain change of control events can also trigger an event of default under the Credit Agreement, including control by any entity or group of entities, other than BioXcel LLC and its affiliates, that acquires 35% or more of our voting capital stock.</w:t>
      </w:r>
    </w:p>
    <w:p>
      <w:pPr>
        <w:spacing w:after="0" w:line="179" w:lineRule="exact"/>
        <w:rPr>
          <w:sz w:val="20"/>
          <w:szCs w:val="20"/>
          <w:color w:val="auto"/>
        </w:rPr>
      </w:pPr>
    </w:p>
    <w:p>
      <w:pPr>
        <w:ind w:left="60" w:right="319" w:firstLine="324"/>
        <w:spacing w:after="0" w:line="241" w:lineRule="auto"/>
        <w:rPr>
          <w:sz w:val="20"/>
          <w:szCs w:val="20"/>
          <w:color w:val="auto"/>
        </w:rPr>
      </w:pPr>
      <w:r>
        <w:rPr>
          <w:rFonts w:ascii="Times New Roman" w:cs="Times New Roman" w:eastAsia="Times New Roman" w:hAnsi="Times New Roman"/>
          <w:sz w:val="18"/>
          <w:szCs w:val="18"/>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9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88"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March 31, 2024, we had $74.1 million in cash and cash equivalents.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Quarterly Report on Form 10-Q. This condition raises substantial doubt about our ability to continue as a going concern for at least one year from the date that our financial statements for the three months ended March 31, 2024 are issued. In order to mitigate the current and potential future liquidity issues, we have undertaken the Reprioritization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4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inspection remains open, however, as the FDA has not issued an Establishment Inspection Report.</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48"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5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However, the FDA may not accept or agree with our conclusions or analyses or may interpret or weigh their importance differently. Further, if we or the FDA determine that there are issues with data integrity and/or compliance with good clinical practice (“GCP”) requirements at the trial site, we may be unable to use some or all of the subject data generated at this clinical site to support a marketing application. Any issues identified at this trial site may also be identified at other trial sites. If all of data from this clinical trial site were discarded, the TRANQUILITY II trial would no longer be adequately powered for statistical significance or would not be considered adequately well-controlled by the FDA, and in either case, we would need to conduct a new comparable clinical trial before we are able to seek any approval of BXCL501 for use in patients with acute agitation (non-daily) due to dementia in probable Alzheimer’s disease. If a substantial portion of the data were discarded, similar outcomes may also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a strategic reprioritization of our commercialization and development efforts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we have limited data supporting BXCL501’s potential use in the at-home setting. In particular,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Although we may seek additional feedback from the FDA regarding the potential of our ongoing, planned or completed clinical trials to support submission of one or more sNDAs and to support a label for use in the home, it is possible that the FDA may not consider the data from such studies adequate to support such submissions. 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seek or obtain approval of BXCL501 for treatment of agitation in patients with dementia due to probable Alzheimer’s disease in the at-home setting based on this updated development plan.</w:t>
      </w:r>
    </w:p>
    <w:p>
      <w:pPr>
        <w:spacing w:after="0" w:line="160"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including by conducting our planned TRANQUILITY In-Care trial, but even if our planned clinical efforts are successful and even if we are able to obtain approval of BXCL501 for use in patients with dementia due to probable Alzheimer's disease in the care setting, we cannot provide assurance that we will be able to seek or obtain approval of BXCL501 for the treatment of agitation in patients with dementia due to probable Alzheimer’s disease in the at-home setting based on these data and we expect that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 Risks Related to the Discovery and Development of Product Candidates—</w:t>
      </w:r>
      <w:r>
        <w:rPr>
          <w:rFonts w:ascii="Times New Roman" w:cs="Times New Roman" w:eastAsia="Times New Roman" w:hAnsi="Times New Roman"/>
          <w:sz w:val="18"/>
          <w:szCs w:val="18"/>
          <w:i w:val="1"/>
          <w:iCs w:val="1"/>
          <w:color w:val="auto"/>
        </w:rPr>
        <w:t>Developments relating to its TRANQUILITY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 accept the data from our prior TRANQUILITY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63"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159" w:firstLine="324"/>
        <w:spacing w:after="0" w:line="221"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current FDA feedback, we plan to amend the Part 2 of the SERENITY III protocol to evaluate the safety and efficacy of the 120 mg dose in the at-home setting, and now refer to this revised trial as the SERENITY At-Home trial. We believe that our ability to seek labeling without the current LOU will depend, in part, on the number of agitation episodes we observe during our planned study period. Even if our planned SERENITY At-home trial is successful in demonstrating safety in the at-home setting, and even if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label is expanded to allow outpatient use, there is no guarantee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we will observe and/or treat a sufficient number of agitation episodes during the study period to support removal of the current LOU.</w:t>
      </w:r>
    </w:p>
    <w:p>
      <w:pPr>
        <w:spacing w:after="0" w:line="135"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planned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35"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60" w:right="179" w:firstLine="324"/>
        <w:spacing w:after="0" w:line="221"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near term. 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spacing w:after="0" w:line="172"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52"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84" w:lineRule="exact"/>
        <w:rPr>
          <w:rFonts w:ascii="Times New Roman" w:cs="Times New Roman" w:eastAsia="Times New Roman" w:hAnsi="Times New Roman"/>
          <w:sz w:val="18"/>
          <w:szCs w:val="18"/>
          <w:color w:val="auto"/>
        </w:rPr>
      </w:pPr>
    </w:p>
    <w:p>
      <w:pPr>
        <w:ind w:left="720" w:right="10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34"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98"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5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43"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56"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21" w:lineRule="exact"/>
        <w:rPr>
          <w:sz w:val="20"/>
          <w:szCs w:val="20"/>
          <w:color w:val="auto"/>
        </w:rPr>
      </w:pPr>
    </w:p>
    <w:p>
      <w:pPr>
        <w:ind w:left="720" w:right="35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2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2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3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60" w:lineRule="exact"/>
        <w:rPr>
          <w:sz w:val="20"/>
          <w:szCs w:val="20"/>
          <w:color w:val="auto"/>
        </w:rPr>
      </w:pPr>
    </w:p>
    <w:p>
      <w:pPr>
        <w:ind w:left="60" w:right="259" w:firstLine="324"/>
        <w:spacing w:after="0" w:line="244"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such other product candidates, if approved.</w:t>
      </w:r>
    </w:p>
    <w:p>
      <w:pPr>
        <w:spacing w:after="0" w:line="4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4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6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difficult to conduct, and involve an uncertain outcome.</w:t>
      </w:r>
    </w:p>
    <w:p>
      <w:pPr>
        <w:spacing w:after="0" w:line="11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foreign regulatory authorities, will accept our proposed trial designs as sufficient to establish the safety and/or efficacy of our product candidates.</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 may impact the timing of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6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1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57"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4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62" w:lineRule="exact"/>
        <w:rPr>
          <w:sz w:val="20"/>
          <w:szCs w:val="20"/>
          <w:color w:val="auto"/>
        </w:rPr>
      </w:pPr>
    </w:p>
    <w:p>
      <w:pPr>
        <w:jc w:val="both"/>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98"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21"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359" w:hanging="319"/>
        <w:spacing w:after="0" w:line="312" w:lineRule="auto"/>
        <w:tabs>
          <w:tab w:leader="none" w:pos="7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17"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34" w:lineRule="exact"/>
        <w:rPr>
          <w:sz w:val="20"/>
          <w:szCs w:val="20"/>
          <w:color w:val="auto"/>
        </w:rPr>
      </w:pPr>
    </w:p>
    <w:p>
      <w:pPr>
        <w:ind w:left="60" w:right="159" w:firstLine="324"/>
        <w:spacing w:after="0" w:line="244" w:lineRule="auto"/>
        <w:rPr>
          <w:sz w:val="20"/>
          <w:szCs w:val="20"/>
          <w:color w:val="auto"/>
        </w:rPr>
      </w:pPr>
      <w:r>
        <w:rPr>
          <w:rFonts w:ascii="Times New Roman" w:cs="Times New Roman" w:eastAsia="Times New Roman" w:hAnsi="Times New Roman"/>
          <w:sz w:val="18"/>
          <w:szCs w:val="18"/>
          <w:color w:val="auto"/>
        </w:rPr>
        <w:t>We are leveraging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5"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1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4" w:lineRule="exact"/>
        <w:rPr>
          <w:sz w:val="20"/>
          <w:szCs w:val="20"/>
          <w:color w:val="auto"/>
        </w:rPr>
      </w:pPr>
    </w:p>
    <w:p>
      <w:pPr>
        <w:ind w:left="720" w:right="339" w:hanging="319"/>
        <w:spacing w:after="0" w:line="258"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56"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8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34"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52"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4"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4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designated as Breakthrough Therapies by the FDA also receive the benefits associated with Fast Track designation, including the potential for rolling review of an NDA.</w:t>
      </w:r>
    </w:p>
    <w:p>
      <w:pPr>
        <w:spacing w:after="0" w:line="135"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144"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66"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5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60"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3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6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23" w:lineRule="exact"/>
        <w:rPr>
          <w:sz w:val="20"/>
          <w:szCs w:val="20"/>
          <w:color w:val="auto"/>
        </w:rPr>
      </w:pPr>
    </w:p>
    <w:p>
      <w:pPr>
        <w:ind w:left="60" w:right="539"/>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39" w:lineRule="exact"/>
        <w:rPr>
          <w:sz w:val="20"/>
          <w:szCs w:val="20"/>
          <w:color w:val="auto"/>
        </w:rPr>
      </w:pPr>
    </w:p>
    <w:p>
      <w:pPr>
        <w:ind w:left="60" w:right="299" w:firstLine="324"/>
        <w:spacing w:after="0" w:line="222"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49" w:lineRule="exact"/>
        <w:rPr>
          <w:sz w:val="20"/>
          <w:szCs w:val="20"/>
          <w:color w:val="auto"/>
        </w:rPr>
      </w:pPr>
    </w:p>
    <w:p>
      <w:pPr>
        <w:ind w:left="60" w:right="519" w:firstLine="324"/>
        <w:spacing w:after="0" w:line="242" w:lineRule="auto"/>
        <w:rPr>
          <w:sz w:val="20"/>
          <w:szCs w:val="20"/>
          <w:color w:val="auto"/>
        </w:rPr>
      </w:pPr>
      <w:r>
        <w:rPr>
          <w:rFonts w:ascii="Times New Roman" w:cs="Times New Roman" w:eastAsia="Times New Roman" w:hAnsi="Times New Roman"/>
          <w:sz w:val="18"/>
          <w:szCs w:val="18"/>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56"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2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30" w:lineRule="auto"/>
        <w:rPr>
          <w:sz w:val="20"/>
          <w:szCs w:val="20"/>
          <w:color w:val="auto"/>
        </w:rPr>
      </w:pPr>
      <w:r>
        <w:rPr>
          <w:rFonts w:ascii="Times New Roman" w:cs="Times New Roman" w:eastAsia="Times New Roman" w:hAnsi="Times New Roman"/>
          <w:sz w:val="18"/>
          <w:szCs w:val="18"/>
          <w:color w:val="auto"/>
        </w:rPr>
        <w:t>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71" w:lineRule="exact"/>
        <w:rPr>
          <w:sz w:val="20"/>
          <w:szCs w:val="20"/>
          <w:color w:val="auto"/>
        </w:rPr>
      </w:pPr>
    </w:p>
    <w:p>
      <w:pPr>
        <w:ind w:left="60" w:right="379" w:firstLine="324"/>
        <w:spacing w:after="0" w:line="242" w:lineRule="auto"/>
        <w:rPr>
          <w:sz w:val="20"/>
          <w:szCs w:val="20"/>
          <w:color w:val="auto"/>
        </w:rPr>
      </w:pPr>
      <w:r>
        <w:rPr>
          <w:rFonts w:ascii="Times New Roman" w:cs="Times New Roman" w:eastAsia="Times New Roman" w:hAnsi="Times New Roman"/>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for these uses.</w:t>
      </w:r>
    </w:p>
    <w:p>
      <w:pPr>
        <w:spacing w:after="0" w:line="48"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4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8" w:lineRule="exact"/>
        <w:rPr>
          <w:sz w:val="20"/>
          <w:szCs w:val="20"/>
          <w:color w:val="auto"/>
        </w:rPr>
      </w:pPr>
    </w:p>
    <w:p>
      <w:pPr>
        <w:ind w:left="60" w:right="759" w:firstLine="324"/>
        <w:spacing w:after="0" w:line="312" w:lineRule="auto"/>
        <w:rPr>
          <w:sz w:val="20"/>
          <w:szCs w:val="20"/>
          <w:color w:val="auto"/>
        </w:rPr>
      </w:pPr>
      <w:r>
        <w:rPr>
          <w:rFonts w:ascii="Times New Roman" w:cs="Times New Roman" w:eastAsia="Times New Roman" w:hAnsi="Times New Roman"/>
          <w:sz w:val="17"/>
          <w:szCs w:val="17"/>
          <w:color w:val="auto"/>
        </w:rPr>
        <w:t>We may choose to conduct one or more of our clinical trials or a portion of our clinical trials for our product candidates outside the U.S. The acceptance of study data from clinical trials conducted outside the U.S. or another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6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pacing w:after="0" w:line="16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51"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53" w:lineRule="exact"/>
        <w:rPr>
          <w:sz w:val="20"/>
          <w:szCs w:val="20"/>
          <w:color w:val="auto"/>
        </w:rPr>
      </w:pPr>
    </w:p>
    <w:p>
      <w:pPr>
        <w:ind w:left="720" w:right="219" w:hanging="319"/>
        <w:spacing w:after="0" w:line="25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5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60"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39"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2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35"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84"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98"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21"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2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 xml:space="preserve">We plan to continue to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Revenues for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year ended December 31, 2023 were $1.4 million.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any currently or additionally approved indications or any future product candidates that we may have approved.</w:t>
      </w:r>
    </w:p>
    <w:p>
      <w:pPr>
        <w:spacing w:after="0" w:line="182" w:lineRule="exact"/>
        <w:rPr>
          <w:sz w:val="20"/>
          <w:szCs w:val="20"/>
          <w:color w:val="auto"/>
        </w:rPr>
      </w:pPr>
    </w:p>
    <w:p>
      <w:pPr>
        <w:ind w:left="60" w:right="239" w:firstLine="324"/>
        <w:spacing w:after="0" w:line="21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216" w:lineRule="exact"/>
        <w:rPr>
          <w:sz w:val="20"/>
          <w:szCs w:val="20"/>
          <w:color w:val="auto"/>
        </w:rPr>
      </w:pPr>
    </w:p>
    <w:p>
      <w:pPr>
        <w:jc w:val="both"/>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6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4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45"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18"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8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37" w:lineRule="exact"/>
        <w:rPr>
          <w:sz w:val="20"/>
          <w:szCs w:val="20"/>
          <w:color w:val="auto"/>
        </w:rPr>
      </w:pPr>
    </w:p>
    <w:p>
      <w:pPr>
        <w:ind w:left="60" w:right="499"/>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 and there may be insufficient insurance coverage and reimbursement.</w:t>
      </w:r>
    </w:p>
    <w:p>
      <w:pPr>
        <w:spacing w:after="0" w:line="150"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drugs we develop depends on a number of factors, including:</w:t>
      </w:r>
    </w:p>
    <w:p>
      <w:pPr>
        <w:spacing w:after="0" w:line="50"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84"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27" w:lineRule="exact"/>
        <w:rPr>
          <w:sz w:val="20"/>
          <w:szCs w:val="20"/>
          <w:color w:val="auto"/>
        </w:rPr>
      </w:pPr>
    </w:p>
    <w:p>
      <w:pPr>
        <w:ind w:left="60" w:right="13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61" w:lineRule="exact"/>
        <w:rPr>
          <w:sz w:val="20"/>
          <w:szCs w:val="20"/>
          <w:color w:val="auto"/>
        </w:rPr>
      </w:pPr>
    </w:p>
    <w:p>
      <w:pPr>
        <w:ind w:left="60" w:right="15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202"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5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60"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3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5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6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by third-party payors and governmental authorities in reference pricing systems and publication of discounts and list prices.</w:t>
      </w:r>
    </w:p>
    <w:p>
      <w:pPr>
        <w:spacing w:after="0" w:line="135"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4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providing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239" w:firstLine="324"/>
        <w:spacing w:after="0" w:line="242" w:lineRule="auto"/>
        <w:rPr>
          <w:sz w:val="20"/>
          <w:szCs w:val="20"/>
          <w:color w:val="auto"/>
        </w:rPr>
      </w:pPr>
      <w:r>
        <w:rPr>
          <w:rFonts w:ascii="Times New Roman" w:cs="Times New Roman" w:eastAsia="Times New Roman" w:hAnsi="Times New Roman"/>
          <w:sz w:val="18"/>
          <w:szCs w:val="18"/>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6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6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1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2024, BioXcel LLC owned approximately 21%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See “The management of and beneficial ownership in BioXcel LLC by our executive officers and our directors may create, or may create the appearance of, conflicts of interest.” below. Even though BioXcel LLC controls less than a majority of the voting power of our outstanding common stock, it may influence the outcome of such corporate actions so long as it owns a significant portion of our common stock.</w:t>
      </w:r>
    </w:p>
    <w:p>
      <w:pPr>
        <w:spacing w:after="0" w:line="157"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3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w:t>
      </w:r>
    </w:p>
    <w:p>
      <w:pPr>
        <w:spacing w:after="0" w:line="16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51"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5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18"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March 31, 2024, Dr. Mehta, through his beneficial ownership of BioXcel LLC, beneficially owned approximately 27.8%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3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ind w:left="60" w:right="2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8"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59"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47"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32"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2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successfully any product candidate to which they have obtained rights from us could materially harm our business, financial condition and results of operations.</w:t>
      </w:r>
    </w:p>
    <w:p>
      <w:pPr>
        <w:spacing w:after="0" w:line="131"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4"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4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65"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 As a result, our results of operations and the commercial prospects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candidates would be harmed, our costs could increase and our ability to generate revenues could be delayed.</w:t>
      </w:r>
    </w:p>
    <w:p>
      <w:pPr>
        <w:spacing w:after="0" w:line="141"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outbreaks of an infectious disease, such as COVID-19, may materially and adversely impact our business, including our preclinical studies and clinical trials.</w:t>
      </w:r>
    </w:p>
    <w:p>
      <w:pPr>
        <w:spacing w:after="0" w:line="118"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As a result of outbreaks from variants of COVID-19, or other pandemics, epidemics or outbreaks of infectious disease, we may experience disruptions that could severely impact our business, preclinical studies and clinical trials, including:</w:t>
      </w:r>
    </w:p>
    <w:p>
      <w:pPr>
        <w:spacing w:after="0" w:line="135"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initiating, operating and completing our clinical trials;</w:t>
      </w:r>
    </w:p>
    <w:p>
      <w:pPr>
        <w:spacing w:after="0" w:line="198"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3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interruptions or delays to our sourced discovery and clinical activities.</w:t>
      </w:r>
    </w:p>
    <w:p>
      <w:pPr>
        <w:spacing w:after="0" w:line="18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If we or any of the third parties with whom we engage were to experience shutdowns or other business disruptions from COVID-19 or other pandemics, epidemics or outbreaks of infectious disease, our ability to conduct our business in the manner and on the timelines presently planned could be materially and negatively impacted.</w:t>
      </w:r>
    </w:p>
    <w:p>
      <w:pPr>
        <w:spacing w:after="0" w:line="131" w:lineRule="exact"/>
        <w:rPr>
          <w:sz w:val="20"/>
          <w:szCs w:val="20"/>
          <w:color w:val="auto"/>
        </w:rPr>
      </w:pPr>
    </w:p>
    <w:p>
      <w:pPr>
        <w:ind w:left="60" w:right="5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3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world, and their impact on the global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18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6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pacing w:after="0" w:line="14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1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1"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4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5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53"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9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63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3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3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4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53"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8"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pacing w:after="0" w:line="160"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pacing w:after="0" w:line="144"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 New laws regulating AI are at an advanced stage of the legislative process in the EU, and it is possible that new laws and regulations will be adopted in the United States and in other non-U.S. jurisdictions, or that existing laws and regulations may be interpreted in ways that would affect the operation of our learning platforms, online testing business and data analytics and the way in which we use AI and machine learning technology.</w:t>
      </w:r>
    </w:p>
    <w:p>
      <w:pPr>
        <w:spacing w:after="0" w:line="15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Europe, on December 8, 2023, the European Union legislators reached a political agreement on the EU Artificial Intelligence Act (“EU AI Act”) which establishes a comprehensive, risk-based governance framework for AI in the EU market. The EU AI Act is expected to enter into force in 2024, and the majority of the substantive requirements will apply two years later. The EU AI Act will apply to companies that develop, use and/ or provide AI in the EU and includes requirements around transparency, conformity assessments and monitoring, risk assessments, human oversight, security, accuracy, general purpose AI and foundation models, and proposes fines for breach of up to 7% of worldwide annual turnover. In addition, on September 28, 2022, the European Commission proposed two Directives seeking to establish a harmonized civil liability regime for AI in the EU. Once fully applicable, this regulatory framework is expected to have a material impact on the way AI is regulated in the EU, and together with developing guidance and/ or decisions in this area, may affect our use of AI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and financial condition.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6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41"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spacing w:after="0" w:line="15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6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2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98"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(“NOLs”) of approximately $351.3 million and state NOLs of approximately $360.1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2023, we also had approximately $14.3 million of federal orphan drug credits and research and development credits and $1.2 million of state research and development credits, which will begin to expire in 2037 if not utilized. The utilization of such NOLs and tax credits and realization of tax benefits in future years depends upon our having taxable income and income tax liabilities.</w:t>
      </w:r>
    </w:p>
    <w:p>
      <w:pPr>
        <w:spacing w:after="0" w:line="16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48" w:lineRule="exact"/>
        <w:rPr>
          <w:sz w:val="20"/>
          <w:szCs w:val="20"/>
          <w:color w:val="auto"/>
        </w:rPr>
      </w:pPr>
    </w:p>
    <w:p>
      <w:pPr>
        <w:ind w:left="60" w:right="419" w:firstLine="324"/>
        <w:spacing w:after="0" w:line="289" w:lineRule="auto"/>
        <w:rPr>
          <w:sz w:val="20"/>
          <w:szCs w:val="20"/>
          <w:color w:val="auto"/>
        </w:rPr>
      </w:pPr>
      <w:r>
        <w:rPr>
          <w:rFonts w:ascii="Times New Roman" w:cs="Times New Roman" w:eastAsia="Times New Roman" w:hAnsi="Times New Roman"/>
          <w:sz w:val="17"/>
          <w:szCs w:val="17"/>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4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39"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13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56"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9" w:lineRule="exact"/>
        <w:rPr>
          <w:sz w:val="20"/>
          <w:szCs w:val="20"/>
          <w:color w:val="auto"/>
        </w:rPr>
      </w:pPr>
    </w:p>
    <w:p>
      <w:pPr>
        <w:ind w:left="720" w:right="299" w:hanging="319"/>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3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43"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85"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7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materially and adversely affect our business, financial condition and results of operations. Any of the foregoing could have a material adverse effect on our business, financial condition, results of operations and prospects.</w:t>
      </w:r>
    </w:p>
    <w:p>
      <w:pPr>
        <w:spacing w:after="0" w:line="131"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5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57" w:lineRule="exact"/>
        <w:rPr>
          <w:sz w:val="20"/>
          <w:szCs w:val="20"/>
          <w:color w:val="auto"/>
        </w:rPr>
      </w:pPr>
    </w:p>
    <w:p>
      <w:pPr>
        <w:ind w:left="60" w:right="259" w:firstLine="324"/>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jc w:val="both"/>
        <w:ind w:left="60" w:right="219" w:firstLine="324"/>
        <w:spacing w:after="0" w:line="269"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w:t>
      </w:r>
    </w:p>
    <w:p>
      <w:pPr>
        <w:spacing w:after="0" w:line="3"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intellectual property rights. Any inability to meaningfully enforce our intellectual property rights could harm our ability to compete and reduce demand for our products and product candidates.</w:t>
      </w:r>
    </w:p>
    <w:p>
      <w:pPr>
        <w:spacing w:after="0" w:line="135"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5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53"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36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5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substantial monetary damages, encounter significant delays in bringing our product candidates to market and be precluded from manufacturing or selling our product candidates.</w:t>
      </w:r>
    </w:p>
    <w:p>
      <w:pPr>
        <w:spacing w:after="0" w:line="135"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4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9" w:lineRule="exact"/>
        <w:rPr>
          <w:sz w:val="20"/>
          <w:szCs w:val="20"/>
          <w:color w:val="auto"/>
        </w:rPr>
      </w:pPr>
    </w:p>
    <w:p>
      <w:pPr>
        <w:ind w:left="60" w:right="319"/>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or our product candidates, our business may be materially harmed.</w:t>
      </w:r>
    </w:p>
    <w:p>
      <w:pPr>
        <w:spacing w:after="0" w:line="151" w:lineRule="exact"/>
        <w:rPr>
          <w:sz w:val="20"/>
          <w:szCs w:val="20"/>
          <w:color w:val="auto"/>
        </w:rPr>
      </w:pPr>
    </w:p>
    <w:p>
      <w:pPr>
        <w:ind w:left="60" w:right="199" w:firstLine="324"/>
        <w:spacing w:after="0" w:line="242" w:lineRule="auto"/>
        <w:rPr>
          <w:sz w:val="20"/>
          <w:szCs w:val="20"/>
          <w:color w:val="auto"/>
        </w:rPr>
      </w:pPr>
      <w:r>
        <w:rPr>
          <w:rFonts w:ascii="Times New Roman" w:cs="Times New Roman" w:eastAsia="Times New Roman" w:hAnsi="Times New Roman"/>
          <w:sz w:val="18"/>
          <w:szCs w:val="18"/>
          <w:color w:val="auto"/>
        </w:rPr>
        <w:t>Following the approval by the FDA for our NDA to market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our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0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48"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4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55"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5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1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1" w:lineRule="auto"/>
        <w:rPr>
          <w:sz w:val="20"/>
          <w:szCs w:val="20"/>
          <w:color w:val="auto"/>
        </w:rPr>
      </w:pPr>
      <w:r>
        <w:rPr>
          <w:rFonts w:ascii="Times New Roman" w:cs="Times New Roman" w:eastAsia="Times New Roman" w:hAnsi="Times New Roman"/>
          <w:sz w:val="18"/>
          <w:szCs w:val="18"/>
          <w:color w:val="auto"/>
        </w:rPr>
        <w:t>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77"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5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1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50"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3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35"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39"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9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4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43"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35"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56"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39" w:lineRule="exact"/>
        <w:rPr>
          <w:sz w:val="20"/>
          <w:szCs w:val="20"/>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98"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2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34"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84"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preclinical and clinical trials;</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98"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9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2024, we issued and sold in a registered direct offering 3,054,609 shares of our common stock, accompanying warrants to purchase up to 8,619,636 shares of our common stock and pre-funded warrants to purchase up to 5,565,027 shares of our common stock (see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 this Quarterly Report on Form 10-Q for additional information). The number of shares of common stock underlying our outstanding warrants is significant in relation to our outstanding common stock (30.4% as of May 6, 2024),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w:t>
      </w:r>
    </w:p>
    <w:p>
      <w:pPr>
        <w:spacing w:after="0" w:line="157"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18"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2024, our directors, executive officers and BioXcel LLC, and their respective affiliates, beneficially owned approximately 31.3%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87" w:lineRule="exact"/>
        <w:rPr>
          <w:sz w:val="20"/>
          <w:szCs w:val="20"/>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corporate control;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81"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18"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4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34" w:lineRule="exact"/>
        <w:rPr>
          <w:sz w:val="20"/>
          <w:szCs w:val="20"/>
          <w:color w:val="auto"/>
        </w:rPr>
      </w:pPr>
    </w:p>
    <w:p>
      <w:pPr>
        <w:ind w:left="60" w:right="339" w:firstLine="324"/>
        <w:spacing w:after="0" w:line="281"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4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6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3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Martin v. BioXcel Therapeutics, et al., 3:23-cv-00915 (D. Conn). On October 4, 2023, pursuant to the Private Securities Litigation Reform Act, the court appointed two co-Lead Plaintiffs. The co-Lead Plaintiffs filed an amended complaint on December 5, 2023, alleging violations of Sections 10(b) and 20A of the Exchange Act and SEC Rule 10b-5 promulgated thereunder. The amended complaint alleges that defendants made false or misleading statements regarding the TRANQUILITY II trial and the development of BXCL501 for an expanded indication related to the treatment of certain Alzheimer’s-related agitation. Defendants filed a motion to dismiss on February 6, 2024, which has not been decided.</w:t>
      </w:r>
    </w:p>
    <w:p>
      <w:pPr>
        <w:spacing w:after="0" w:line="16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Panancherry et al v. Mehta et al,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In re BioXcel Therapeutics, Inc. Stockholder Derivative Litigation, 3:23-cv-1554 (D. Conn.). The consolidated action is currently stayed.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Smith v. Mehta et al,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In re BioXcel Therapeutics, Inc. Derivative Litigation, 1:24-cv-00041 (D. Del.). The consolidated action is currently stayed.</w:t>
      </w:r>
    </w:p>
    <w:p>
      <w:pPr>
        <w:spacing w:after="0" w:line="16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is also cooperating with an investigation by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39"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54" w:lineRule="exact"/>
        <w:rPr>
          <w:sz w:val="20"/>
          <w:szCs w:val="20"/>
          <w:color w:val="auto"/>
        </w:rPr>
      </w:pPr>
    </w:p>
    <w:p>
      <w:pPr>
        <w:ind w:left="60" w:right="439" w:firstLine="324"/>
        <w:spacing w:after="0" w:line="289" w:lineRule="auto"/>
        <w:rPr>
          <w:sz w:val="20"/>
          <w:szCs w:val="20"/>
          <w:color w:val="auto"/>
        </w:rPr>
      </w:pPr>
      <w:r>
        <w:rPr>
          <w:rFonts w:ascii="Times New Roman" w:cs="Times New Roman" w:eastAsia="Times New Roman" w:hAnsi="Times New Roman"/>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may also prevent or frustrate attempts by our stockholders to replace or remove our management. In particular, the certificate of incorporation and bylaws and Delaware law, as applicable, among other things:</w:t>
      </w:r>
    </w:p>
    <w:p>
      <w:pPr>
        <w:spacing w:after="0" w:line="135" w:lineRule="exact"/>
        <w:rPr>
          <w:sz w:val="20"/>
          <w:szCs w:val="20"/>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8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18"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5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34"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bills could adversely affect our business and financial condition.</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and Issuer Purchases of Equity Securities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Item 2.05 Costs Associated with Exit or Disposal Activities.</w:t>
      </w:r>
    </w:p>
    <w:p>
      <w:pPr>
        <w:spacing w:after="0" w:line="185" w:lineRule="exact"/>
        <w:rPr>
          <w:sz w:val="20"/>
          <w:szCs w:val="20"/>
          <w:color w:val="auto"/>
        </w:rPr>
      </w:pPr>
    </w:p>
    <w:p>
      <w:pPr>
        <w:ind w:left="380" w:right="419"/>
        <w:spacing w:after="0" w:line="256" w:lineRule="auto"/>
        <w:rPr>
          <w:sz w:val="20"/>
          <w:szCs w:val="20"/>
          <w:color w:val="auto"/>
        </w:rPr>
      </w:pPr>
      <w:r>
        <w:rPr>
          <w:rFonts w:ascii="Times New Roman" w:cs="Times New Roman" w:eastAsia="Times New Roman" w:hAnsi="Times New Roman"/>
          <w:sz w:val="18"/>
          <w:szCs w:val="18"/>
          <w:color w:val="auto"/>
        </w:rPr>
        <w:t>On May 2, 2024, the Company’s Board of Directors approved a further reduction of approximately 15% of the Company’s current workforce as part of its continued efforts to preserve cash and prioritize investment in our core clinical programs. The Company notified impacted employees on May 8, 2024 and expects to record restructuring costs of approximately $920,000 in the three-month period ended June 30, 2024. These costs consist of severance and benefit costs, all of which are expected to be paid in cash. The Company expects to complete the workforce reduction by June 2024.</w:t>
      </w:r>
    </w:p>
    <w:p>
      <w:pPr>
        <w:spacing w:after="0" w:line="147" w:lineRule="exact"/>
        <w:rPr>
          <w:sz w:val="20"/>
          <w:szCs w:val="20"/>
          <w:color w:val="auto"/>
        </w:rPr>
      </w:pPr>
    </w:p>
    <w:p>
      <w:pPr>
        <w:jc w:val="both"/>
        <w:ind w:left="380" w:right="219"/>
        <w:spacing w:after="0" w:line="261" w:lineRule="auto"/>
        <w:rPr>
          <w:sz w:val="20"/>
          <w:szCs w:val="20"/>
          <w:color w:val="auto"/>
        </w:rPr>
      </w:pPr>
      <w:r>
        <w:rPr>
          <w:rFonts w:ascii="Times New Roman" w:cs="Times New Roman" w:eastAsia="Times New Roman" w:hAnsi="Times New Roman"/>
          <w:sz w:val="18"/>
          <w:szCs w:val="18"/>
          <w:color w:val="auto"/>
        </w:rPr>
        <w:t>The estimated costs that the Company expects to incur and the expected timing to complete the workforce reduction are subject to a number of assumptions, and actual results may materially differ. The Company may also incur other cash or non-cash charges or cash expenditures not currently contemplated due to events that may occur as a result of, or in association with, the workforce reduction.</w:t>
      </w:r>
    </w:p>
    <w:p>
      <w:pPr>
        <w:spacing w:after="0" w:line="153" w:lineRule="exact"/>
        <w:rPr>
          <w:sz w:val="20"/>
          <w:szCs w:val="20"/>
          <w:color w:val="auto"/>
        </w:rPr>
      </w:pPr>
    </w:p>
    <w:p>
      <w:pPr>
        <w:ind w:left="620" w:hanging="246"/>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380" w:right="179" w:hanging="6"/>
        <w:spacing w:after="0" w:line="266" w:lineRule="auto"/>
        <w:tabs>
          <w:tab w:leader="none" w:pos="6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none of our directors or “officers” (as defined under as defined in Rule 16a-1(f) under the Exchange Act) adopted or terminated a “Rule 10b5-1 trading arrangement” or “non-Rule 10b5-1 trading arrangement,” as each term is defined in Item 408(a) of Regulation 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gridSpan w:val="29"/>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80" w:type="dxa"/>
            <w:vAlign w:val="bottom"/>
            <w:gridSpan w:val="29"/>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37"/>
        </w:trPr>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0"/>
                <w:szCs w:val="20"/>
                <w:color w:val="auto"/>
              </w:rPr>
            </w:pPr>
          </w:p>
        </w:tc>
        <w:tc>
          <w:tcPr>
            <w:tcW w:w="3940" w:type="dxa"/>
            <w:vAlign w:val="bottom"/>
            <w:tcBorders>
              <w:top w:val="single" w:sz="8" w:color="auto"/>
              <w:bottom w:val="single" w:sz="8" w:color="0000EE"/>
            </w:tcBorders>
            <w:gridSpan w:val="18"/>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Amended and Restated Certificate of Incorporation, as</w:t>
              </w:r>
            </w:hyperlink>
          </w:p>
        </w:tc>
        <w:tc>
          <w:tcPr>
            <w:tcW w:w="380" w:type="dxa"/>
            <w:vAlign w:val="bottom"/>
            <w:tcBorders>
              <w:top w:val="single" w:sz="8" w:color="auto"/>
            </w:tcBorders>
            <w:gridSpan w:val="13"/>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8/10/2021</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amended.</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2"/>
                <w:szCs w:val="22"/>
                <w:color w:val="auto"/>
              </w:rPr>
            </w:pPr>
          </w:p>
        </w:tc>
        <w:tc>
          <w:tcPr>
            <w:tcW w:w="4320" w:type="dxa"/>
            <w:vAlign w:val="bottom"/>
            <w:gridSpan w:val="31"/>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Amended and Restated Bylaws.</w:t>
              </w:r>
            </w:hyperlink>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8-K   001-38410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3/13/2018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2"/>
                <w:szCs w:val="22"/>
                <w:color w:val="auto"/>
              </w:rPr>
            </w:pPr>
          </w:p>
        </w:tc>
        <w:tc>
          <w:tcPr>
            <w:tcW w:w="3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Warrant Agreement, dated March 20, 2024</w:t>
              </w:r>
            </w:hyperlink>
          </w:p>
        </w:tc>
        <w:tc>
          <w:tcPr>
            <w:tcW w:w="580" w:type="dxa"/>
            <w:vAlign w:val="bottom"/>
            <w:gridSpan w:val="18"/>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10-K  001-38410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3/22/2024</w:t>
            </w: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2"/>
                <w:szCs w:val="22"/>
                <w:color w:val="auto"/>
              </w:rPr>
            </w:pPr>
          </w:p>
        </w:tc>
        <w:tc>
          <w:tcPr>
            <w:tcW w:w="37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Second Amended and Restated Registration Rights</w:t>
              </w:r>
            </w:hyperlink>
          </w:p>
        </w:tc>
        <w:tc>
          <w:tcPr>
            <w:tcW w:w="620" w:type="dxa"/>
            <w:vAlign w:val="bottom"/>
            <w:gridSpan w:val="20"/>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3/22/2024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Agreement, between the Company and the parties thereto,</w:t>
              </w:r>
            </w:hyperlink>
          </w:p>
        </w:tc>
        <w:tc>
          <w:tcPr>
            <w:tcW w:w="1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dated March 20, 2024.</w:t>
              </w:r>
            </w:hyperlink>
          </w:p>
        </w:tc>
        <w:tc>
          <w:tcPr>
            <w:tcW w:w="2680" w:type="dxa"/>
            <w:vAlign w:val="bottom"/>
            <w:gridSpan w:val="29"/>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2"/>
                <w:szCs w:val="22"/>
                <w:color w:val="auto"/>
              </w:rPr>
            </w:pPr>
          </w:p>
        </w:tc>
        <w:tc>
          <w:tcPr>
            <w:tcW w:w="21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Form of Pre-Funded Warrant</w:t>
              </w:r>
            </w:hyperlink>
          </w:p>
        </w:tc>
        <w:tc>
          <w:tcPr>
            <w:tcW w:w="2220" w:type="dxa"/>
            <w:vAlign w:val="bottom"/>
            <w:gridSpan w:val="28"/>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3/25/2024</w:t>
            </w:r>
          </w:p>
        </w:tc>
        <w:tc>
          <w:tcPr>
            <w:tcW w:w="0" w:type="dxa"/>
            <w:vAlign w:val="bottom"/>
          </w:tcPr>
          <w:p>
            <w:pPr>
              <w:spacing w:after="0"/>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2"/>
                <w:szCs w:val="22"/>
                <w:color w:val="auto"/>
              </w:rPr>
            </w:pPr>
          </w:p>
        </w:tc>
        <w:tc>
          <w:tcPr>
            <w:tcW w:w="23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Form of Accompanying Warrant</w:t>
              </w:r>
            </w:hyperlink>
          </w:p>
        </w:tc>
        <w:tc>
          <w:tcPr>
            <w:tcW w:w="1960" w:type="dxa"/>
            <w:vAlign w:val="bottom"/>
            <w:gridSpan w:val="26"/>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3/25/2024</w:t>
            </w: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2"/>
                <w:szCs w:val="22"/>
                <w:color w:val="auto"/>
              </w:rPr>
            </w:pPr>
          </w:p>
        </w:tc>
        <w:tc>
          <w:tcPr>
            <w:tcW w:w="3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Third Amendment to Credit Agreement and Guaranty</w:t>
              </w:r>
            </w:hyperlink>
          </w:p>
        </w:tc>
        <w:tc>
          <w:tcPr>
            <w:tcW w:w="420" w:type="dxa"/>
            <w:vAlign w:val="bottom"/>
            <w:gridSpan w:val="14"/>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2/12/2024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dated February 12, 2024, which amended the Credit</w:t>
              </w:r>
            </w:hyperlink>
          </w:p>
        </w:tc>
        <w:tc>
          <w:tcPr>
            <w:tcW w:w="56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Agreement and Guaranty, dated April 19, 2022, by and</w:t>
              </w:r>
            </w:hyperlink>
          </w:p>
        </w:tc>
        <w:tc>
          <w:tcPr>
            <w:tcW w:w="34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among the Company, as the borrower, certain subsidiaries</w:t>
              </w:r>
            </w:hyperlink>
          </w:p>
        </w:tc>
        <w:tc>
          <w:tcPr>
            <w:tcW w:w="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of the Company from time to time party thereto as</w:t>
              </w:r>
            </w:hyperlink>
          </w:p>
        </w:tc>
        <w:tc>
          <w:tcPr>
            <w:tcW w:w="680" w:type="dxa"/>
            <w:vAlign w:val="bottom"/>
            <w:gridSpan w:val="21"/>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subsidiary guarantors, the lenders party thereto, and</w:t>
              </w:r>
            </w:hyperlink>
          </w:p>
        </w:tc>
        <w:tc>
          <w:tcPr>
            <w:tcW w:w="580" w:type="dxa"/>
            <w:vAlign w:val="bottom"/>
            <w:gridSpan w:val="18"/>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Oaktree Fund Administration LLC, as administrative agent</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(as amended by the Waiver and First Amendment to Credit</w:t>
              </w:r>
            </w:hyperlink>
          </w:p>
        </w:tc>
        <w:tc>
          <w:tcPr>
            <w:tcW w:w="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Agreement and Guaranty, dated as of November 13, 2023</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and the Second Amendment to Credit Agreement and</w:t>
              </w:r>
            </w:hyperlink>
          </w:p>
        </w:tc>
        <w:tc>
          <w:tcPr>
            <w:tcW w:w="280" w:type="dxa"/>
            <w:vAlign w:val="bottom"/>
            <w:tcBorders>
              <w:top w:val="single" w:sz="8" w:color="0000EE"/>
            </w:tcBorders>
            <w:gridSpan w:val="9"/>
          </w:tcPr>
          <w:p>
            <w:pPr>
              <w:spacing w:after="0"/>
              <w:rPr>
                <w:sz w:val="17"/>
                <w:szCs w:val="17"/>
                <w:color w:val="auto"/>
              </w:rPr>
            </w:pPr>
          </w:p>
        </w:tc>
        <w:tc>
          <w:tcPr>
            <w:tcW w:w="16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Guaranty and Termination of Revenue Interest Financing</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Agreement dated as of December 5, 2023)</w:t>
              </w:r>
            </w:hyperlink>
          </w:p>
        </w:tc>
        <w:tc>
          <w:tcPr>
            <w:tcW w:w="1040" w:type="dxa"/>
            <w:vAlign w:val="bottom"/>
            <w:tcBorders>
              <w:top w:val="single" w:sz="8" w:color="0000EE"/>
            </w:tcBorders>
            <w:gridSpan w:val="15"/>
          </w:tcPr>
          <w:p>
            <w:pPr>
              <w:spacing w:after="0"/>
              <w:rPr>
                <w:sz w:val="17"/>
                <w:szCs w:val="17"/>
                <w:color w:val="auto"/>
              </w:rPr>
            </w:pPr>
          </w:p>
        </w:tc>
        <w:tc>
          <w:tcPr>
            <w:tcW w:w="20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2"/>
                <w:szCs w:val="22"/>
                <w:color w:val="auto"/>
              </w:rPr>
            </w:pPr>
          </w:p>
        </w:tc>
        <w:tc>
          <w:tcPr>
            <w:tcW w:w="40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Fourth Amendment to Credit Agreement and Guaranty,</w:t>
              </w:r>
            </w:hyperlink>
          </w:p>
        </w:tc>
        <w:tc>
          <w:tcPr>
            <w:tcW w:w="300" w:type="dxa"/>
            <w:vAlign w:val="bottom"/>
            <w:gridSpan w:val="9"/>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2200" w:type="dxa"/>
            <w:vAlign w:val="bottom"/>
            <w:gridSpan w:val="2"/>
          </w:tcPr>
          <w:p>
            <w:pPr>
              <w:jc w:val="right"/>
              <w:ind w:right="694"/>
              <w:spacing w:after="0"/>
              <w:rPr>
                <w:sz w:val="20"/>
                <w:szCs w:val="20"/>
                <w:color w:val="auto"/>
              </w:rPr>
            </w:pPr>
            <w:r>
              <w:rPr>
                <w:rFonts w:ascii="Times New Roman" w:cs="Times New Roman" w:eastAsia="Times New Roman" w:hAnsi="Times New Roman"/>
                <w:sz w:val="18"/>
                <w:szCs w:val="18"/>
                <w:color w:val="auto"/>
              </w:rPr>
              <w:t>10.22.4 3/22/2024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dated March 20, 2024, to the Credit Agreement and</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Guaranty, dated April 19, 2022, by and among the</w:t>
              </w:r>
            </w:hyperlink>
          </w:p>
        </w:tc>
        <w:tc>
          <w:tcPr>
            <w:tcW w:w="100" w:type="dxa"/>
            <w:vAlign w:val="bottom"/>
            <w:tcBorders>
              <w:top w:val="single" w:sz="8" w:color="0000EE"/>
            </w:tcBorders>
            <w:gridSpan w:val="3"/>
          </w:tcPr>
          <w:p>
            <w:pPr>
              <w:spacing w:after="0"/>
              <w:rPr>
                <w:sz w:val="17"/>
                <w:szCs w:val="17"/>
                <w:color w:val="auto"/>
              </w:rPr>
            </w:pPr>
          </w:p>
        </w:tc>
        <w:tc>
          <w:tcPr>
            <w:tcW w:w="60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Company, as the borrower, certain subsidiaries of the</w:t>
              </w:r>
            </w:hyperlink>
          </w:p>
        </w:tc>
        <w:tc>
          <w:tcPr>
            <w:tcW w:w="4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Company from time to time party thereto as subsidiary</w:t>
              </w:r>
            </w:hyperlink>
          </w:p>
        </w:tc>
        <w:tc>
          <w:tcPr>
            <w:tcW w:w="36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guarantors, the lenders party thereto, and Oaktree Fund</w:t>
              </w:r>
            </w:hyperlink>
          </w:p>
        </w:tc>
        <w:tc>
          <w:tcPr>
            <w:tcW w:w="32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Administration LLC, as administrative agent (as amended).</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2"/>
                <w:szCs w:val="22"/>
                <w:color w:val="auto"/>
              </w:rPr>
            </w:pPr>
          </w:p>
        </w:tc>
        <w:tc>
          <w:tcPr>
            <w:tcW w:w="398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Securities Purchase Agreement, dated March 25, 2024,</w:t>
              </w:r>
            </w:hyperlink>
          </w:p>
        </w:tc>
        <w:tc>
          <w:tcPr>
            <w:tcW w:w="300" w:type="dxa"/>
            <w:vAlign w:val="bottom"/>
            <w:tcBorders>
              <w:top w:val="single" w:sz="8" w:color="0000EE"/>
            </w:tcBorders>
            <w:gridSpan w:val="10"/>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3/25/2024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between the Company and the Purchasers.</w:t>
              </w:r>
            </w:hyperlink>
          </w:p>
        </w:tc>
        <w:tc>
          <w:tcPr>
            <w:tcW w:w="1260" w:type="dxa"/>
            <w:vAlign w:val="bottom"/>
            <w:gridSpan w:val="24"/>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2"/>
                <w:szCs w:val="22"/>
                <w:color w:val="auto"/>
              </w:rPr>
            </w:pPr>
          </w:p>
        </w:tc>
        <w:tc>
          <w:tcPr>
            <w:tcW w:w="40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w:t>
            </w:r>
          </w:p>
        </w:tc>
        <w:tc>
          <w:tcPr>
            <w:tcW w:w="320" w:type="dxa"/>
            <w:vAlign w:val="bottom"/>
            <w:gridSpan w:val="10"/>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80" w:type="dxa"/>
            <w:vAlign w:val="bottom"/>
          </w:tcPr>
          <w:p>
            <w:pPr>
              <w:jc w:val="center"/>
              <w:ind w:left="75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under the Securities</w:t>
            </w:r>
          </w:p>
        </w:tc>
        <w:tc>
          <w:tcPr>
            <w:tcW w:w="620" w:type="dxa"/>
            <w:vAlign w:val="bottom"/>
            <w:gridSpan w:val="20"/>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vMerge w:val="restart"/>
          </w:tcPr>
          <w:p>
            <w:pPr>
              <w:jc w:val="center"/>
              <w:ind w:left="75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2"/>
                <w:szCs w:val="22"/>
                <w:color w:val="auto"/>
              </w:rPr>
            </w:pPr>
          </w:p>
        </w:tc>
        <w:tc>
          <w:tcPr>
            <w:tcW w:w="4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under the Securities</w:t>
            </w:r>
          </w:p>
        </w:tc>
        <w:tc>
          <w:tcPr>
            <w:tcW w:w="240" w:type="dxa"/>
            <w:vAlign w:val="bottom"/>
            <w:tcBorders>
              <w:top w:val="single" w:sz="8" w:color="0000EE"/>
            </w:tcBorders>
            <w:gridSpan w:val="7"/>
          </w:tcPr>
          <w:p>
            <w:pPr>
              <w:spacing w:after="0"/>
              <w:rPr>
                <w:sz w:val="17"/>
                <w:szCs w:val="17"/>
                <w:color w:val="auto"/>
              </w:rPr>
            </w:pPr>
          </w:p>
        </w:tc>
        <w:tc>
          <w:tcPr>
            <w:tcW w:w="38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158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vMerge w:val="restart"/>
          </w:tcPr>
          <w:p>
            <w:pPr>
              <w:jc w:val="center"/>
              <w:ind w:left="75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2"/>
                <w:szCs w:val="22"/>
                <w:color w:val="auto"/>
              </w:rPr>
            </w:pPr>
          </w:p>
        </w:tc>
        <w:tc>
          <w:tcPr>
            <w:tcW w:w="42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w:t>
            </w:r>
          </w:p>
        </w:tc>
        <w:tc>
          <w:tcPr>
            <w:tcW w:w="100" w:type="dxa"/>
            <w:vAlign w:val="bottom"/>
            <w:gridSpan w:val="3"/>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8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vMerge w:val="restart"/>
          </w:tcPr>
          <w:p>
            <w:pPr>
              <w:jc w:val="center"/>
              <w:ind w:left="75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2"/>
                <w:szCs w:val="22"/>
                <w:color w:val="auto"/>
              </w:rPr>
            </w:pPr>
          </w:p>
        </w:tc>
        <w:tc>
          <w:tcPr>
            <w:tcW w:w="4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w:t>
            </w:r>
          </w:p>
        </w:tc>
        <w:tc>
          <w:tcPr>
            <w:tcW w:w="16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8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8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instance document does not appear in the Interactive</w:t>
            </w:r>
          </w:p>
        </w:tc>
        <w:tc>
          <w:tcPr>
            <w:tcW w:w="17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File because its XBRL tags are embedded within the</w:t>
            </w:r>
          </w:p>
        </w:tc>
        <w:tc>
          <w:tcPr>
            <w:tcW w:w="17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document</w:t>
            </w:r>
          </w:p>
        </w:tc>
        <w:tc>
          <w:tcPr>
            <w:tcW w:w="1780" w:type="dxa"/>
            <w:vAlign w:val="bottom"/>
          </w:tcPr>
          <w:p>
            <w:pPr>
              <w:spacing w:after="0"/>
              <w:rPr>
                <w:sz w:val="20"/>
                <w:szCs w:val="20"/>
                <w:color w:val="auto"/>
              </w:rPr>
            </w:pPr>
          </w:p>
        </w:tc>
      </w:tr>
      <w:tr>
        <w:trPr>
          <w:trHeight w:val="283"/>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101.DEF</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05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0"/>
          <w:szCs w:val="20"/>
          <w:color w:val="auto"/>
        </w:rPr>
      </w:pPr>
    </w:p>
    <w:p>
      <w:pPr>
        <w:ind w:left="380" w:hanging="330"/>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2024</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2024</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4" w:name="page135"/>
    <w:bookmarkEnd w:id="13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35" w:name="page136"/>
    <w:bookmarkEnd w:id="13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6" w:name="page137"/>
    <w:bookmarkEnd w:id="13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lowerRoman"/>
      <w:start w:val="4"/>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lowerRoman"/>
      <w:start w:val="1"/>
    </w:lvl>
  </w:abstractNum>
  <w:abstractNum w:abstractNumId="11">
    <w:nsid w:val="5E884ADC"/>
    <w:multiLevelType w:val="hybridMultilevel"/>
    <w:lvl w:ilvl="0">
      <w:lvlJc w:val="left"/>
      <w:lvlText w:val="(%1)"/>
      <w:numFmt w:val="lowerRoman"/>
      <w:start w:val="2"/>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1)"/>
      <w:numFmt w:val="lowerLetter"/>
      <w:start w:val="2"/>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46" Type="http://schemas.openxmlformats.org/officeDocument/2006/relationships/hyperlink" Target="https://www.sec.gov/Archives/edgar/data/1720893/000155837021011074/btai-20210630xex3d1.htm" TargetMode="External"/><Relationship Id="rId147" Type="http://schemas.openxmlformats.org/officeDocument/2006/relationships/hyperlink" Target="https://www.sec.gov/Archives/edgar/data/1720893/000110465918016770/a18-8090_1ex3d2.htm" TargetMode="External"/><Relationship Id="rId148" Type="http://schemas.openxmlformats.org/officeDocument/2006/relationships/hyperlink" Target="https://www.sec.gov/Archives/edgar/data/1720893/000155837024003784/btai-20231231xex4d5.htm" TargetMode="External"/><Relationship Id="rId149" Type="http://schemas.openxmlformats.org/officeDocument/2006/relationships/hyperlink" Target="https://www.sec.gov/Archives/edgar/data/1720893/000155837024003784/btai-20231231xex4d6.htm" TargetMode="External"/><Relationship Id="rId150" Type="http://schemas.openxmlformats.org/officeDocument/2006/relationships/hyperlink" Target="https://www.sec.gov/Archives/edgar/data/1720893/000110465924038441/tm249625d2_ex4-1.htm" TargetMode="External"/><Relationship Id="rId151" Type="http://schemas.openxmlformats.org/officeDocument/2006/relationships/hyperlink" Target="https://www.sec.gov/Archives/edgar/data/1720893/000110465924038441/tm249625d2_ex4-2.htm" TargetMode="External"/><Relationship Id="rId152" Type="http://schemas.openxmlformats.org/officeDocument/2006/relationships/hyperlink" Target="https://www.sec.gov/Archives/edgar/data/1720893/000110465924014028/tm244487d3_ex10-1.htm" TargetMode="External"/><Relationship Id="rId153" Type="http://schemas.openxmlformats.org/officeDocument/2006/relationships/hyperlink" Target="https://www.sec.gov/Archives/edgar/data/1720893/000155837024003784/btai-20231231xex10d224.htm" TargetMode="External"/><Relationship Id="rId154" Type="http://schemas.openxmlformats.org/officeDocument/2006/relationships/hyperlink" Target="https://www.sec.gov/Archives/edgar/data/1720893/000110465924038441/tm249625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2024-05-09T08:14:55Z</dcterms:created>
  <dcterms:modified xsi:type="dcterms:W3CDTF">2024-05-09T08:14:55Z</dcterms:modified>
</cp:coreProperties>
</file>