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72390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3" w:lineRule="exact"/>
        <w:rPr>
          <w:sz w:val="24"/>
          <w:szCs w:val="24"/>
          <w:color w:val="auto"/>
        </w:rPr>
      </w:pPr>
    </w:p>
    <w:p>
      <w:pPr>
        <w:jc w:val="center"/>
        <w:ind w:right="-20"/>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89535</wp:posOffset>
            </wp:positionV>
            <wp:extent cx="1431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ind w:left="660" w:right="359" w:hanging="407"/>
        <w:spacing w:after="0" w:line="282" w:lineRule="auto"/>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3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660" w:right="339" w:hanging="407"/>
        <w:spacing w:after="0" w:line="282" w:lineRule="auto"/>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001-38410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74930</wp:posOffset>
            </wp:positionV>
            <wp:extent cx="14319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BioXcel Therapeutics, Inc</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64770</wp:posOffset>
            </wp:positionV>
            <wp:extent cx="1431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86" w:lineRule="exact"/>
        <w:rPr>
          <w:sz w:val="24"/>
          <w:szCs w:val="24"/>
          <w:color w:val="auto"/>
        </w:rPr>
      </w:pPr>
    </w:p>
    <w:tbl>
      <w:tblPr>
        <w:tblLayout w:type="fixed"/>
        <w:tblInd w:w="1180" w:type="dxa"/>
        <w:tblCellMar>
          <w:top w:w="0" w:type="dxa"/>
          <w:left w:w="0" w:type="dxa"/>
          <w:bottom w:w="0" w:type="dxa"/>
          <w:right w:w="0" w:type="dxa"/>
        </w:tblCellMar>
      </w:tblPr>
      <w:tr>
        <w:trPr>
          <w:trHeight w:val="161"/>
        </w:trPr>
        <w:tc>
          <w:tcPr>
            <w:tcW w:w="5000" w:type="dxa"/>
            <w:vAlign w:val="bottom"/>
          </w:tcPr>
          <w:p>
            <w:pPr>
              <w:jc w:val="center"/>
              <w:ind w:right="2668"/>
              <w:spacing w:after="0"/>
              <w:rPr>
                <w:sz w:val="20"/>
                <w:szCs w:val="20"/>
                <w:color w:val="auto"/>
              </w:rPr>
            </w:pPr>
            <w:r>
              <w:rPr>
                <w:rFonts w:ascii="Arial" w:cs="Arial" w:eastAsia="Arial" w:hAnsi="Arial"/>
                <w:sz w:val="14"/>
                <w:szCs w:val="14"/>
                <w:b w:val="1"/>
                <w:bCs w:val="1"/>
                <w:color w:val="auto"/>
                <w:w w:val="94"/>
              </w:rPr>
              <w:t>Delaware</w:t>
            </w:r>
          </w:p>
        </w:tc>
        <w:tc>
          <w:tcPr>
            <w:tcW w:w="1200" w:type="dxa"/>
            <w:vAlign w:val="bottom"/>
          </w:tcPr>
          <w:p>
            <w:pPr>
              <w:jc w:val="center"/>
              <w:ind w:left="68"/>
              <w:spacing w:after="0" w:line="161" w:lineRule="exact"/>
              <w:rPr>
                <w:sz w:val="20"/>
                <w:szCs w:val="20"/>
                <w:color w:val="auto"/>
              </w:rPr>
            </w:pPr>
            <w:r>
              <w:rPr>
                <w:rFonts w:ascii="Arial" w:cs="Arial" w:eastAsia="Arial" w:hAnsi="Arial"/>
                <w:sz w:val="14"/>
                <w:szCs w:val="14"/>
                <w:b w:val="1"/>
                <w:bCs w:val="1"/>
                <w:color w:val="auto"/>
                <w:w w:val="94"/>
              </w:rPr>
              <w:t>82</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1386754</w:t>
            </w:r>
          </w:p>
        </w:tc>
        <w:tc>
          <w:tcPr>
            <w:tcW w:w="0" w:type="dxa"/>
            <w:vAlign w:val="bottom"/>
          </w:tcPr>
          <w:p>
            <w:pPr>
              <w:spacing w:after="0"/>
              <w:rPr>
                <w:sz w:val="1"/>
                <w:szCs w:val="1"/>
                <w:color w:val="auto"/>
              </w:rPr>
            </w:pPr>
          </w:p>
        </w:tc>
      </w:tr>
      <w:tr>
        <w:trPr>
          <w:trHeight w:val="149"/>
        </w:trPr>
        <w:tc>
          <w:tcPr>
            <w:tcW w:w="5000" w:type="dxa"/>
            <w:vAlign w:val="bottom"/>
          </w:tcPr>
          <w:p>
            <w:pPr>
              <w:jc w:val="center"/>
              <w:ind w:right="2648"/>
              <w:spacing w:after="0" w:line="149" w:lineRule="exact"/>
              <w:rPr>
                <w:sz w:val="20"/>
                <w:szCs w:val="20"/>
                <w:color w:val="auto"/>
              </w:rPr>
            </w:pPr>
            <w:r>
              <w:rPr>
                <w:rFonts w:ascii="Arial" w:cs="Arial" w:eastAsia="Arial" w:hAnsi="Arial"/>
                <w:sz w:val="14"/>
                <w:szCs w:val="14"/>
                <w:color w:val="auto"/>
                <w:w w:val="95"/>
              </w:rPr>
              <w:t>(State or other jurisdiction of</w:t>
            </w:r>
          </w:p>
        </w:tc>
        <w:tc>
          <w:tcPr>
            <w:tcW w:w="120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000" w:type="dxa"/>
            <w:vAlign w:val="bottom"/>
          </w:tcPr>
          <w:p>
            <w:pPr>
              <w:ind w:left="340"/>
              <w:spacing w:after="0"/>
              <w:rPr>
                <w:sz w:val="20"/>
                <w:szCs w:val="20"/>
                <w:color w:val="auto"/>
              </w:rPr>
            </w:pPr>
            <w:r>
              <w:rPr>
                <w:rFonts w:ascii="Arial" w:cs="Arial" w:eastAsia="Arial" w:hAnsi="Arial"/>
                <w:sz w:val="14"/>
                <w:szCs w:val="14"/>
                <w:color w:val="auto"/>
              </w:rPr>
              <w:t>incorporation or organization)</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05"/>
        </w:trPr>
        <w:tc>
          <w:tcPr>
            <w:tcW w:w="5000" w:type="dxa"/>
            <w:vAlign w:val="bottom"/>
          </w:tcPr>
          <w:p>
            <w:pPr>
              <w:jc w:val="center"/>
              <w:ind w:right="2648"/>
              <w:spacing w:after="0"/>
              <w:rPr>
                <w:sz w:val="20"/>
                <w:szCs w:val="20"/>
                <w:color w:val="auto"/>
              </w:rPr>
            </w:pPr>
            <w:r>
              <w:rPr>
                <w:rFonts w:ascii="Arial" w:cs="Arial" w:eastAsia="Arial" w:hAnsi="Arial"/>
                <w:sz w:val="14"/>
                <w:szCs w:val="14"/>
                <w:b w:val="1"/>
                <w:bCs w:val="1"/>
                <w:color w:val="auto"/>
                <w:w w:val="97"/>
              </w:rPr>
              <w:t>555 Long Wharf Drive</w:t>
            </w:r>
          </w:p>
        </w:tc>
        <w:tc>
          <w:tcPr>
            <w:tcW w:w="12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000" w:type="dxa"/>
            <w:vAlign w:val="bottom"/>
          </w:tcPr>
          <w:p>
            <w:pPr>
              <w:jc w:val="center"/>
              <w:ind w:right="2648"/>
              <w:spacing w:after="0" w:line="153" w:lineRule="exact"/>
              <w:rPr>
                <w:sz w:val="20"/>
                <w:szCs w:val="20"/>
                <w:color w:val="auto"/>
              </w:rPr>
            </w:pPr>
            <w:r>
              <w:rPr>
                <w:rFonts w:ascii="Arial" w:cs="Arial" w:eastAsia="Arial" w:hAnsi="Arial"/>
                <w:sz w:val="14"/>
                <w:szCs w:val="14"/>
                <w:b w:val="1"/>
                <w:bCs w:val="1"/>
                <w:color w:val="auto"/>
                <w:w w:val="98"/>
              </w:rPr>
              <w:t>New Haven CT</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000" w:type="dxa"/>
            <w:vAlign w:val="bottom"/>
          </w:tcPr>
          <w:p>
            <w:pPr>
              <w:jc w:val="center"/>
              <w:ind w:right="2648"/>
              <w:spacing w:after="0"/>
              <w:rPr>
                <w:sz w:val="20"/>
                <w:szCs w:val="20"/>
                <w:color w:val="auto"/>
              </w:rPr>
            </w:pPr>
            <w:r>
              <w:rPr>
                <w:rFonts w:ascii="Arial" w:cs="Arial" w:eastAsia="Arial" w:hAnsi="Arial"/>
                <w:sz w:val="14"/>
                <w:szCs w:val="14"/>
                <w:color w:val="auto"/>
                <w:w w:val="95"/>
              </w:rPr>
              <w:t>(Address of principal executive offices)</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09"/>
        </w:trPr>
        <w:tc>
          <w:tcPr>
            <w:tcW w:w="5000" w:type="dxa"/>
            <w:vAlign w:val="bottom"/>
          </w:tcPr>
          <w:p>
            <w:pPr>
              <w:jc w:val="center"/>
              <w:ind w:left="1628"/>
              <w:spacing w:after="0" w:line="161" w:lineRule="exact"/>
              <w:rPr>
                <w:sz w:val="20"/>
                <w:szCs w:val="20"/>
                <w:color w:val="auto"/>
              </w:rPr>
            </w:pPr>
            <w:r>
              <w:rPr>
                <w:rFonts w:ascii="Arial" w:cs="Arial" w:eastAsia="Arial" w:hAnsi="Arial"/>
                <w:sz w:val="14"/>
                <w:szCs w:val="14"/>
                <w:b w:val="1"/>
                <w:bCs w:val="1"/>
                <w:color w:val="auto"/>
                <w:w w:val="98"/>
              </w:rPr>
              <w:t>(475) 238</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6837</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00" w:type="dxa"/>
            <w:vAlign w:val="bottom"/>
          </w:tcPr>
          <w:p>
            <w:pPr>
              <w:jc w:val="center"/>
              <w:ind w:left="1648"/>
              <w:spacing w:after="0"/>
              <w:rPr>
                <w:sz w:val="20"/>
                <w:szCs w:val="20"/>
                <w:color w:val="auto"/>
              </w:rPr>
            </w:pPr>
            <w:r>
              <w:rPr>
                <w:rFonts w:ascii="Arial" w:cs="Arial" w:eastAsia="Arial" w:hAnsi="Arial"/>
                <w:sz w:val="14"/>
                <w:szCs w:val="14"/>
                <w:color w:val="auto"/>
                <w:w w:val="92"/>
              </w:rPr>
              <w:t>(Registrant’s telephone number, including area code)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72390</wp:posOffset>
            </wp:positionV>
            <wp:extent cx="14319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7" w:lineRule="exact"/>
        <w:rPr>
          <w:sz w:val="24"/>
          <w:szCs w:val="24"/>
          <w:color w:val="auto"/>
        </w:rPr>
      </w:pPr>
    </w:p>
    <w:p>
      <w:pPr>
        <w:ind w:right="27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ind w:right="119"/>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2" w:lineRule="exact"/>
        <w:rPr>
          <w:sz w:val="24"/>
          <w:szCs w:val="24"/>
          <w:color w:val="auto"/>
        </w:rPr>
      </w:pPr>
    </w:p>
    <w:p>
      <w:pPr>
        <w:ind w:right="1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9039"/>
          </w:cols>
          <w:pgMar w:left="1420" w:top="233" w:right="1440" w:bottom="1440" w:gutter="0" w:footer="0" w:header="0"/>
        </w:sectPr>
      </w:pPr>
    </w:p>
    <w:p>
      <w:pPr>
        <w:spacing w:after="0" w:line="65" w:lineRule="exact"/>
        <w:rPr>
          <w:sz w:val="24"/>
          <w:szCs w:val="24"/>
          <w:color w:val="auto"/>
        </w:rPr>
      </w:pPr>
    </w:p>
    <w:p>
      <w:pPr>
        <w:ind w:left="15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5520" w:space="720"/>
            <w:col w:w="2799"/>
          </w:cols>
          <w:pgMar w:left="1420" w:top="233" w:right="1440" w:bottom="1440" w:gutter="0" w:footer="0" w:header="0"/>
          <w:type w:val="continuous"/>
        </w:sectPr>
      </w:pPr>
    </w:p>
    <w:p>
      <w:pPr>
        <w:ind w:left="15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280" w:space="720"/>
            <w:col w:w="3039"/>
          </w:cols>
          <w:pgMar w:left="1420" w:top="233" w:right="1440" w:bottom="1440" w:gutter="0" w:footer="0" w:header="0"/>
          <w:type w:val="continuous"/>
        </w:sectPr>
      </w:pPr>
    </w:p>
    <w:p>
      <w:pPr>
        <w:ind w:left="59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039"/>
          </w:cols>
          <w:pgMar w:left="1420" w:top="233" w:right="1440" w:bottom="1440" w:gutter="0" w:footer="0" w:header="0"/>
          <w:type w:val="continuous"/>
        </w:sectPr>
      </w:pPr>
    </w:p>
    <w:p>
      <w:pPr>
        <w:spacing w:after="0" w:line="134" w:lineRule="exact"/>
        <w:rPr>
          <w:sz w:val="24"/>
          <w:szCs w:val="24"/>
          <w:color w:val="auto"/>
        </w:rPr>
      </w:pPr>
    </w:p>
    <w:p>
      <w:pPr>
        <w:ind w:right="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6" w:lineRule="exact"/>
        <w:rPr>
          <w:sz w:val="24"/>
          <w:szCs w:val="24"/>
          <w:color w:val="auto"/>
        </w:rPr>
      </w:pPr>
    </w:p>
    <w:p>
      <w:pPr>
        <w:ind w:left="320"/>
        <w:spacing w:after="0"/>
        <w:rPr>
          <w:sz w:val="20"/>
          <w:szCs w:val="20"/>
          <w:color w:val="auto"/>
        </w:rPr>
      </w:pPr>
      <w:r>
        <w:rPr>
          <w:rFonts w:ascii="Arial" w:cs="Arial" w:eastAsia="Arial" w:hAnsi="Arial"/>
          <w:sz w:val="14"/>
          <w:szCs w:val="14"/>
          <w:color w:val="auto"/>
        </w:rPr>
        <w:t>The number of shares of the registrant’s common stock, $0.001 par value per share, outstanding at November 7, 2018 was 15,645,545.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98425</wp:posOffset>
            </wp:positionV>
            <wp:extent cx="57543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433070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233" w:right="1440"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960" w:type="dxa"/>
            <w:vAlign w:val="bottom"/>
            <w:gridSpan w:val="9"/>
            <w:vMerge w:val="restart"/>
          </w:tcPr>
          <w:p>
            <w:pPr>
              <w:ind w:left="36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960" w:type="dxa"/>
            <w:vAlign w:val="bottom"/>
            <w:gridSpan w:val="9"/>
            <w:vMerge w:val="continue"/>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720" w:type="dxa"/>
            <w:vAlign w:val="bottom"/>
            <w:gridSpan w:val="13"/>
          </w:tcPr>
          <w:p>
            <w:pPr>
              <w:spacing w:after="0"/>
              <w:rPr>
                <w:sz w:val="20"/>
                <w:szCs w:val="20"/>
                <w:color w:val="auto"/>
              </w:rPr>
            </w:pPr>
            <w:r>
              <w:rPr>
                <w:rFonts w:ascii="Arial" w:cs="Arial" w:eastAsia="Arial" w:hAnsi="Arial"/>
                <w:sz w:val="18"/>
                <w:szCs w:val="18"/>
                <w:color w:val="auto"/>
              </w:rPr>
              <w:t>Unaudited Interim Financial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720" w:type="dxa"/>
            <w:vAlign w:val="bottom"/>
            <w:gridSpan w:val="1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Balance Sheets as of September 30, 2018 (unaudited) and December 31, 2017</w:t>
              </w:r>
            </w:hyperlink>
          </w:p>
        </w:tc>
        <w:tc>
          <w:tcPr>
            <w:tcW w:w="4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13"/>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Statements of Operations for the three and nine months ended September 30, 2018 and 2017 (unaudited)</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20" w:type="dxa"/>
            <w:vAlign w:val="bottom"/>
            <w:tcBorders>
              <w:top w:val="single" w:sz="8" w:color="0000EE"/>
            </w:tcBorders>
            <w:gridSpan w:val="12"/>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Statements of Cash Flows for the nine months ended September 30, 2018 and 2017 (unaudited)</w:t>
              </w:r>
            </w:hyperlink>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 (unaudited)</w:t>
              </w:r>
            </w:hyperlink>
          </w:p>
        </w:tc>
        <w:tc>
          <w:tcPr>
            <w:tcW w:w="8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340" w:type="dxa"/>
            <w:vAlign w:val="bottom"/>
            <w:gridSpan w:val="3"/>
          </w:tcPr>
          <w:p>
            <w:pPr>
              <w:spacing w:after="0"/>
              <w:rPr>
                <w:sz w:val="17"/>
                <w:szCs w:val="17"/>
                <w:color w:val="auto"/>
              </w:rPr>
            </w:pPr>
          </w:p>
        </w:tc>
        <w:tc>
          <w:tcPr>
            <w:tcW w:w="6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12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336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72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960" w:type="dxa"/>
            <w:vAlign w:val="bottom"/>
            <w:gridSpan w:val="9"/>
          </w:tcPr>
          <w:p>
            <w:pPr>
              <w:ind w:left="540"/>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1.</w:t>
              </w:r>
            </w:hyperlink>
          </w:p>
        </w:tc>
        <w:tc>
          <w:tcPr>
            <w:tcW w:w="340" w:type="dxa"/>
            <w:vAlign w:val="bottom"/>
            <w:gridSpan w:val="3"/>
          </w:tcPr>
          <w:p>
            <w:pPr>
              <w:spacing w:after="0"/>
              <w:rPr>
                <w:sz w:val="17"/>
                <w:szCs w:val="17"/>
                <w:color w:val="auto"/>
              </w:rPr>
            </w:pPr>
          </w:p>
        </w:tc>
        <w:tc>
          <w:tcPr>
            <w:tcW w:w="2300" w:type="dxa"/>
            <w:vAlign w:val="bottom"/>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720" w:type="dxa"/>
            <w:vAlign w:val="bottom"/>
            <w:tcBorders>
              <w:top w:val="single" w:sz="8" w:color="0000EE"/>
            </w:tcBorders>
            <w:gridSpan w:val="3"/>
          </w:tcPr>
          <w:p>
            <w:pPr>
              <w:spacing w:after="0"/>
              <w:rPr>
                <w:sz w:val="17"/>
                <w:szCs w:val="17"/>
                <w:color w:val="auto"/>
              </w:rPr>
            </w:pPr>
          </w:p>
        </w:tc>
        <w:tc>
          <w:tcPr>
            <w:tcW w:w="270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772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6.</w:t>
              </w:r>
            </w:hyperlink>
          </w:p>
        </w:tc>
        <w:tc>
          <w:tcPr>
            <w:tcW w:w="120" w:type="dxa"/>
            <w:vAlign w:val="bottom"/>
            <w:tcBorders>
              <w:top w:val="single" w:sz="8" w:color="0000EE"/>
            </w:tcBorders>
          </w:tcPr>
          <w:p>
            <w:pPr>
              <w:spacing w:after="0"/>
              <w:rPr>
                <w:sz w:val="17"/>
                <w:szCs w:val="17"/>
                <w:color w:val="auto"/>
              </w:rPr>
            </w:pPr>
          </w:p>
        </w:tc>
        <w:tc>
          <w:tcPr>
            <w:tcW w:w="22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17"/>
                <w:szCs w:val="17"/>
                <w:color w:val="auto"/>
              </w:rPr>
            </w:pPr>
          </w:p>
        </w:tc>
        <w:tc>
          <w:tcPr>
            <w:tcW w:w="682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Signatures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gridSpan w:val="7"/>
          </w:tcPr>
          <w:p>
            <w:pPr>
              <w:ind w:left="362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shares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142"/>
        </w:trPr>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from Parent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1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47,866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Payable to Parent for services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 payable to Parent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Due to Parent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10"/>
        </w:trPr>
        <w:tc>
          <w:tcPr>
            <w:tcW w:w="69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r>
      <w:tr>
        <w:trPr>
          <w:trHeight w:val="21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2,337</w:t>
            </w: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10,000,000 shares authorized; no shares issued 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3"/>
              </w:rPr>
              <w:t>Common stock, $0.001 par value, 50,000,000 shares authorized; 15,645,545 and 9,907,548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0"/>
              </w:rPr>
              <w:t>shares issued and outstanding as of September 30, 2018 and December 31, 2017,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(16,645)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(4,450)</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17"/>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shares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48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4"/>
              </w:rPr>
              <w:t>Three Months Ended September 30,</w:t>
            </w: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(12,195)</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w w:val="96"/>
              </w:rPr>
              <w:t>Net loss per share attributable to common stockholders/</w:t>
            </w:r>
          </w:p>
        </w:tc>
        <w:tc>
          <w:tcPr>
            <w:tcW w:w="180" w:type="dxa"/>
            <w:vAlign w:val="bottom"/>
            <w:vMerge w:val="restart"/>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(0.31)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(0.10)</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(0.86)</w:t>
            </w: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24"/>
        </w:trPr>
        <w:tc>
          <w:tcPr>
            <w:tcW w:w="4320" w:type="dxa"/>
            <w:vAlign w:val="bottom"/>
          </w:tcPr>
          <w:p>
            <w:pPr>
              <w:ind w:left="140"/>
              <w:spacing w:after="0"/>
              <w:rPr>
                <w:sz w:val="20"/>
                <w:szCs w:val="20"/>
                <w:color w:val="auto"/>
              </w:rPr>
            </w:pPr>
            <w:r>
              <w:rPr>
                <w:rFonts w:ascii="Arial" w:cs="Arial" w:eastAsia="Arial" w:hAnsi="Arial"/>
                <w:sz w:val="18"/>
                <w:szCs w:val="18"/>
                <w:color w:val="auto"/>
              </w:rPr>
              <w:t>Parent basic and diluted</w:t>
            </w:r>
          </w:p>
        </w:tc>
        <w:tc>
          <w:tcPr>
            <w:tcW w:w="18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4"/>
              </w:rPr>
              <w:t>Weighted average shares outstanding - basic and diluted</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15,645,545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9,483,318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14,228,192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9,483,318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Nine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(12,195)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Purchase of equipment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Parent Investment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Payable to Parent for services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Due to Parent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Note Payable — Parent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the period</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paid</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Activity: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00" w:type="dxa"/>
            <w:vAlign w:val="bottom"/>
          </w:tcPr>
          <w:p>
            <w:pPr>
              <w:ind w:left="220"/>
              <w:spacing w:after="0" w:line="201" w:lineRule="exact"/>
              <w:rPr>
                <w:sz w:val="20"/>
                <w:szCs w:val="20"/>
                <w:color w:val="auto"/>
              </w:rPr>
            </w:pPr>
            <w:r>
              <w:rPr>
                <w:rFonts w:ascii="Arial" w:cs="Arial" w:eastAsia="Arial" w:hAnsi="Arial"/>
                <w:sz w:val="18"/>
                <w:szCs w:val="18"/>
                <w:color w:val="auto"/>
                <w:w w:val="93"/>
              </w:rPr>
              <w:t>Deferred issuance costs reclassified to additional paid-in-capital upon completion of initial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public offering.</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net Parent Investment in the Company to accumulated deficit.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20"/>
                <w:szCs w:val="20"/>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BioXcel Therapeutics, Inc. (the “Company” or “BTI”) is a clinical stage biopharmaceutical company utilizing novel artificial intelligence-based approaches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New Haven, Connecticut. Unless otherwise indicated or the context requires otherwise, references in this report to “we,” “our,” “us” and similar expressions refer to BioXcel Therapeutics, Inc.</w:t>
      </w:r>
    </w:p>
    <w:p>
      <w:pPr>
        <w:spacing w:after="0" w:line="192"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unaudited financial information for the three and nine months ended September 30, 2018 and 2017 is presented on the same basis as the financial statements included in the Company’s registration statement on Form S-1 relating to its initial public offering of its common shares.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 contribution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ind w:right="20" w:firstLine="324"/>
        <w:spacing w:after="0" w:line="224"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its initial public offering of its common shares (the “IPO”) was declared effective by the Securities and Exchange Commission (“SEC”). The IPO closed on</w:t>
      </w:r>
    </w:p>
    <w:p>
      <w:pPr>
        <w:ind w:right="60"/>
        <w:spacing w:after="0" w:line="255" w:lineRule="auto"/>
        <w:rPr>
          <w:sz w:val="20"/>
          <w:szCs w:val="20"/>
          <w:color w:val="auto"/>
        </w:rPr>
      </w:pPr>
      <w:r>
        <w:rPr>
          <w:rFonts w:ascii="Arial" w:cs="Arial" w:eastAsia="Arial" w:hAnsi="Arial"/>
          <w:sz w:val="18"/>
          <w:szCs w:val="18"/>
          <w:color w:val="auto"/>
        </w:rPr>
        <w:t>March 12, 2018, and the Company issued and sold 5,454,545 common shares at a public offering price of $11.00 per share. Gross proceeds totaled $60,000 and net proceeds totaled $54,102 after deducting underwriting discounts and commissions of $4,200 and other offering expenses of approximately $1,698.</w:t>
      </w:r>
    </w:p>
    <w:p>
      <w:pPr>
        <w:spacing w:after="0" w:line="19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each.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Basis of Presentation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financial statements of the Company for the period through June 30, 2017 are derived by carving out the historical results of operations and historical cost basis of the assets and liabilities associated with the BTI Business that have been contributed to the Company by BioXcel, from the financial statements of BioXcel.</w:t>
      </w:r>
    </w:p>
    <w:p>
      <w:pPr>
        <w:spacing w:after="0" w:line="18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These results reflect amounts specifically attributable to the BTI Business under a contribution agreement, effective June 30, 2017, as amended and restated on November 7, 2017, or the Contribution Agreement, for the period from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January 1, 2015 until June 30, 2017. The Company has also entered into a separation and shared services agreement with BioXcel that took effect on June 30, 2017, as amended and restated on November 7, 2017, or the Services Agreement, pursuant to which BioXcel provides the Company with certain general and administrative and development support services. However, consistent with accounting regulations, it has been assumed that the Company was a separate business since January 1, 2015, and accordingly the assets, liabilities and expenses relating to the BTI Business have been separated from the Parent in the financial statements for periods prior to and post incorporation through June 30, 2017. The financial statements for the nine-month period ended September 30, 2017, include reasonable allocations for assets and liabilities and expenses attributable to the BTI Business.</w:t>
      </w:r>
    </w:p>
    <w:p>
      <w:pPr>
        <w:spacing w:after="0" w:line="17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For the three and nine months ended September 30, 2018, the results are on a stand-alone entity basis. All assets and liabilities contributed by BioXcel to the Company have been recorded at historical book value.</w:t>
      </w:r>
    </w:p>
    <w:p>
      <w:pPr>
        <w:spacing w:after="0" w:line="170"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balance sheet information as of December 31, 2017, was derived from the audited financial statements which include the accounts of BioXcel Therapeutics Inc. but does not include all disclosures required by accounting principles generally accepted in the United States (“GAAP”). The unaudited financial information should be read in conjunction with the financial statements and notes included in the Company’s S-1.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ind w:right="200" w:firstLine="324"/>
        <w:spacing w:after="0" w:line="220" w:lineRule="exact"/>
        <w:rPr>
          <w:sz w:val="20"/>
          <w:szCs w:val="20"/>
          <w:color w:val="auto"/>
        </w:rPr>
      </w:pPr>
      <w:r>
        <w:rPr>
          <w:rFonts w:ascii="Arial" w:cs="Arial" w:eastAsia="Arial" w:hAnsi="Arial"/>
          <w:sz w:val="18"/>
          <w:szCs w:val="18"/>
          <w:color w:val="auto"/>
        </w:rPr>
        <w:t>In accordance with Accounting Standards Update (“ASU”) 2014</w:t>
      </w:r>
      <w:r>
        <w:rPr>
          <w:rFonts w:ascii="MS PGothic" w:cs="MS PGothic" w:eastAsia="MS PGothic" w:hAnsi="MS PGothic"/>
          <w:sz w:val="18"/>
          <w:szCs w:val="18"/>
          <w:color w:val="auto"/>
        </w:rPr>
        <w:t>‑</w:t>
      </w:r>
      <w:r>
        <w:rPr>
          <w:rFonts w:ascii="Arial" w:cs="Arial" w:eastAsia="Arial" w:hAnsi="Arial"/>
          <w:sz w:val="18"/>
          <w:szCs w:val="18"/>
          <w:color w:val="auto"/>
        </w:rPr>
        <w:t>15, Disclosure of Uncertainties about an Entity’s Ability to Continue as a Going Concern (Subtopic 205</w:t>
      </w:r>
      <w:r>
        <w:rPr>
          <w:rFonts w:ascii="MS PGothic" w:cs="MS PGothic" w:eastAsia="MS PGothic" w:hAnsi="MS PGothic"/>
          <w:sz w:val="18"/>
          <w:szCs w:val="18"/>
          <w:color w:val="auto"/>
        </w:rPr>
        <w:t>‑</w:t>
      </w:r>
      <w:r>
        <w:rPr>
          <w:rFonts w:ascii="Arial" w:cs="Arial" w:eastAsia="Arial" w:hAnsi="Arial"/>
          <w:sz w:val="18"/>
          <w:szCs w:val="18"/>
          <w:color w:val="auto"/>
        </w:rPr>
        <w:t>40), management must evaluate whether there are conditions or events, considered in the aggregate, that raise substantial doubt about the Company’s ability to continue as a going concern within one year after the date that the financial statements are issued.</w:t>
      </w:r>
    </w:p>
    <w:p>
      <w:pPr>
        <w:spacing w:after="0" w:line="204"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Management believes that as a result of the proceeds received in connection with its IPO and a review of projected project timing that it has sufficient liquidity to meet its obligations as they come due for at least eighteen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Company’s financial statements are prepared in accordance with GAAP. The preparation of BioXcel’s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 For the nine months ended September 30, 2018 and 2017, the most significant estimates include the valuation of the Parent’s common stock, allocation of expenses, assets and liabilities from the Parent. Although these estimates are based on the Company’s knowledge of current events and actions it may undertake in the future, actual results may ultimately materially differ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2018, and the results of its operations for the three and nine months ended September 30, 2018 and 2017 and its cash flows for the nine months ended September 30, 2018 and 2017, respectively. The results for the nine months ended September 30, 2018 are not necessarily indicative of results to be expected for the year ending December 31, 2018, any other interim periods or any future year or period.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September 30, 2018, cash equivalents were comprised of money market funds.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The Company capitalized certain legal, professional accounting and other third-party fees that were directly associated with in-process equity financings as deferred offering costs until the equity financing was consummated. After consummation of an equity financing, these costs were recorded in shareholders’ equity (deficit) as a reduction of proceeds generated as a result of the offering. 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recorded as a reduction to shareholders’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Equipment consists of computers and related equipment and furniture that are stated at cost and depreciated using the straight-line method over estimated useful life of 5 years. Leasehold improvements will be amortized over the life of the lease.</w:t>
      </w:r>
    </w:p>
    <w:p>
      <w:pPr>
        <w:spacing w:after="0" w:line="181" w:lineRule="exact"/>
        <w:rPr>
          <w:sz w:val="20"/>
          <w:szCs w:val="20"/>
          <w:color w:val="auto"/>
        </w:rPr>
      </w:pPr>
    </w:p>
    <w:p>
      <w:pPr>
        <w:ind w:right="80" w:firstLine="324"/>
        <w:spacing w:after="0" w:line="219" w:lineRule="exact"/>
        <w:rPr>
          <w:sz w:val="20"/>
          <w:szCs w:val="20"/>
          <w:color w:val="auto"/>
        </w:rPr>
      </w:pPr>
      <w:r>
        <w:rPr>
          <w:rFonts w:ascii="Arial" w:cs="Arial" w:eastAsia="Arial" w:hAnsi="Arial"/>
          <w:sz w:val="17"/>
          <w:szCs w:val="17"/>
          <w:color w:val="auto"/>
        </w:rPr>
        <w:t>The Company follows the guidance provided by FASB ASC Topic 360</w:t>
      </w:r>
      <w:r>
        <w:rPr>
          <w:rFonts w:ascii="MS PGothic" w:cs="MS PGothic" w:eastAsia="MS PGothic" w:hAnsi="MS PGothic"/>
          <w:sz w:val="17"/>
          <w:szCs w:val="17"/>
          <w:color w:val="auto"/>
        </w:rPr>
        <w:t>‑</w:t>
      </w:r>
      <w:r>
        <w:rPr>
          <w:rFonts w:ascii="Arial" w:cs="Arial" w:eastAsia="Arial" w:hAnsi="Arial"/>
          <w:sz w:val="17"/>
          <w:szCs w:val="17"/>
          <w:color w:val="auto"/>
        </w:rPr>
        <w:t xml:space="preserve">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salary costs of employees have been allocated to the BTI Business in the carve-out process.</w:t>
      </w:r>
    </w:p>
    <w:p>
      <w:pPr>
        <w:spacing w:after="0" w:line="16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Stock-based awards to non-employees are re-measured at fair value each financial reporting date until performance is complete.</w:t>
      </w:r>
    </w:p>
    <w:p>
      <w:pPr>
        <w:spacing w:after="0" w:line="170"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64" w:lineRule="auto"/>
        <w:rPr>
          <w:sz w:val="20"/>
          <w:szCs w:val="20"/>
          <w:color w:val="auto"/>
        </w:rPr>
      </w:pPr>
      <w:r>
        <w:rPr>
          <w:rFonts w:ascii="Arial" w:cs="Arial" w:eastAsia="Arial" w:hAnsi="Arial"/>
          <w:sz w:val="18"/>
          <w:szCs w:val="18"/>
          <w:color w:val="auto"/>
        </w:rPr>
        <w:t>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81" w:lineRule="exact"/>
        <w:rPr>
          <w:sz w:val="20"/>
          <w:szCs w:val="20"/>
          <w:color w:val="auto"/>
        </w:rPr>
      </w:pPr>
    </w:p>
    <w:p>
      <w:pPr>
        <w:ind w:right="419" w:firstLine="324"/>
        <w:spacing w:after="0" w:line="277" w:lineRule="auto"/>
        <w:rPr>
          <w:sz w:val="20"/>
          <w:szCs w:val="20"/>
          <w:color w:val="auto"/>
        </w:rPr>
      </w:pPr>
      <w:r>
        <w:rPr>
          <w:rFonts w:ascii="Arial" w:cs="Arial" w:eastAsia="Arial" w:hAnsi="Arial"/>
          <w:sz w:val="18"/>
          <w:szCs w:val="18"/>
          <w:color w:val="auto"/>
        </w:rPr>
        <w:t>The Company adopted FASB ASU 2016-09 as of January 1, 2018 and has elected to account for forfeitures as they occur, by reversing compensation cost when the award is forfeited.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9"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39"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59" w:firstLine="324"/>
        <w:spacing w:after="0" w:line="289"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under ASC 820 are described below:</w:t>
      </w:r>
    </w:p>
    <w:p>
      <w:pPr>
        <w:spacing w:after="0" w:line="167" w:lineRule="exact"/>
        <w:rPr>
          <w:sz w:val="20"/>
          <w:szCs w:val="20"/>
          <w:color w:val="auto"/>
        </w:rPr>
      </w:pPr>
    </w:p>
    <w:p>
      <w:pPr>
        <w:ind w:left="660" w:right="379"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rFonts w:ascii="Arial" w:cs="Arial" w:eastAsia="Arial" w:hAnsi="Arial"/>
          <w:sz w:val="18"/>
          <w:szCs w:val="18"/>
          <w:color w:val="auto"/>
        </w:rPr>
      </w:pPr>
    </w:p>
    <w:p>
      <w:pPr>
        <w:ind w:left="660" w:right="59" w:hanging="333"/>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3" w:lineRule="exact"/>
        <w:rPr>
          <w:rFonts w:ascii="Arial" w:cs="Arial" w:eastAsia="Arial" w:hAnsi="Arial"/>
          <w:sz w:val="18"/>
          <w:szCs w:val="18"/>
          <w:color w:val="auto"/>
        </w:rPr>
      </w:pPr>
    </w:p>
    <w:p>
      <w:pPr>
        <w:jc w:val="both"/>
        <w:ind w:left="660" w:right="339" w:hanging="333"/>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339" w:firstLine="324"/>
        <w:spacing w:after="0" w:line="264"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1" w:lineRule="exact"/>
        <w:rPr>
          <w:sz w:val="20"/>
          <w:szCs w:val="20"/>
          <w:color w:val="auto"/>
        </w:rPr>
      </w:pPr>
    </w:p>
    <w:p>
      <w:pPr>
        <w:ind w:right="419" w:firstLine="324"/>
        <w:spacing w:after="0" w:line="277" w:lineRule="auto"/>
        <w:rPr>
          <w:sz w:val="20"/>
          <w:szCs w:val="20"/>
          <w:color w:val="auto"/>
        </w:rPr>
      </w:pPr>
      <w:r>
        <w:rPr>
          <w:rFonts w:ascii="Arial" w:cs="Arial" w:eastAsia="Arial" w:hAnsi="Arial"/>
          <w:sz w:val="18"/>
          <w:szCs w:val="18"/>
          <w:color w:val="auto"/>
        </w:rPr>
        <w:t>The carrying amounts of cash, accounts payable and accrued expenses approximate fair value due to the short-term nature of these instruments.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39" w:firstLine="324"/>
        <w:spacing w:after="0" w:line="288"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and nine months ended September 30, 2018 and 2017. Such securities have not been included in the loss per share calculation since their impact would be anti-dilutive. There were 2,682,545 and 2,525,811 shares of options that were excluded from the calculation of the loss per share for the three and nine months ended September 30, 2018, respectively. The Company was incorporated on March 29, 2017 and net loss per common share for the three and nine months ending September 30, 2017, was calculated as if the shares to the Parent were issued at 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9" w:firstLine="324"/>
        <w:spacing w:after="0" w:line="218" w:lineRule="exact"/>
        <w:rPr>
          <w:sz w:val="20"/>
          <w:szCs w:val="20"/>
          <w:color w:val="auto"/>
        </w:rPr>
      </w:pPr>
      <w:r>
        <w:rPr>
          <w:rFonts w:ascii="Arial" w:cs="Arial" w:eastAsia="Arial" w:hAnsi="Arial"/>
          <w:sz w:val="17"/>
          <w:szCs w:val="17"/>
          <w:color w:val="auto"/>
        </w:rPr>
        <w:t xml:space="preserve">In May 2014, the Financial Accounting Standards Board, or FASB, issued </w:t>
      </w:r>
      <w:r>
        <w:rPr>
          <w:rFonts w:ascii="Arial" w:cs="Arial" w:eastAsia="Arial" w:hAnsi="Arial"/>
          <w:sz w:val="17"/>
          <w:szCs w:val="17"/>
          <w:i w:val="1"/>
          <w:iCs w:val="1"/>
          <w:color w:val="auto"/>
        </w:rPr>
        <w:t>ASU 2014</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09 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Under this guidance, an entity will recognize revenue when it transfers promised goods or services to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in an amount that reflects what the entity expects to receive in exchange for the goods or services. This new guidance also requires more detailed disclosures to enable users of the financial statements to understand the nature, amount, timing and uncertainty of revenue and cash flows arising from contracts with customers. The Company adopted this guidance beginning on January 1, 2018. The guidance allows the selection of one of two methods of adoption, either the full retrospective approach, meaning the guidance would be applied to all periods presented, or modified retrospective approach, meaning the cumulative effect of applying the guidance would be recognized as an adjustment to opening accumulated deficit balance. There was no impact to the Company as a result of the adoption.</w:t>
      </w:r>
    </w:p>
    <w:p>
      <w:pPr>
        <w:spacing w:after="0" w:line="204" w:lineRule="exact"/>
        <w:rPr>
          <w:sz w:val="20"/>
          <w:szCs w:val="20"/>
          <w:color w:val="auto"/>
        </w:rPr>
      </w:pPr>
    </w:p>
    <w:p>
      <w:pPr>
        <w:ind w:right="19" w:firstLine="324"/>
        <w:spacing w:after="0" w:line="218" w:lineRule="exact"/>
        <w:rPr>
          <w:sz w:val="20"/>
          <w:szCs w:val="20"/>
          <w:color w:val="auto"/>
        </w:rPr>
      </w:pPr>
      <w:r>
        <w:rPr>
          <w:rFonts w:ascii="Arial" w:cs="Arial" w:eastAsia="Arial" w:hAnsi="Arial"/>
          <w:sz w:val="17"/>
          <w:szCs w:val="17"/>
          <w:color w:val="auto"/>
        </w:rPr>
        <w:t xml:space="preserve">In February 2016, the FASB issued </w:t>
      </w:r>
      <w:r>
        <w:rPr>
          <w:rFonts w:ascii="Arial" w:cs="Arial" w:eastAsia="Arial" w:hAnsi="Arial"/>
          <w:sz w:val="17"/>
          <w:szCs w:val="17"/>
          <w:i w:val="1"/>
          <w:iCs w:val="1"/>
          <w:color w:val="auto"/>
        </w:rPr>
        <w:t>ASU 2016</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02 Lease Accounting Topic 842</w:t>
      </w:r>
      <w:r>
        <w:rPr>
          <w:rFonts w:ascii="Arial" w:cs="Arial" w:eastAsia="Arial" w:hAnsi="Arial"/>
          <w:sz w:val="17"/>
          <w:szCs w:val="17"/>
          <w:color w:val="auto"/>
        </w:rPr>
        <w:t>.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must adopt the new standard on a modified retrospective basis, which requires it to reflect its leases on its balance sheet for the earliest comparative period presented. There was no impact to the Company as a result of the adoption.</w:t>
      </w:r>
    </w:p>
    <w:p>
      <w:pPr>
        <w:spacing w:after="0" w:line="202" w:lineRule="exact"/>
        <w:rPr>
          <w:sz w:val="20"/>
          <w:szCs w:val="20"/>
          <w:color w:val="auto"/>
        </w:rPr>
      </w:pPr>
    </w:p>
    <w:p>
      <w:pPr>
        <w:ind w:right="19" w:firstLine="324"/>
        <w:spacing w:after="0" w:line="253" w:lineRule="auto"/>
        <w:rPr>
          <w:sz w:val="20"/>
          <w:szCs w:val="20"/>
          <w:color w:val="auto"/>
        </w:rPr>
      </w:pPr>
      <w:r>
        <w:rPr>
          <w:rFonts w:ascii="Arial" w:cs="Arial" w:eastAsia="Arial" w:hAnsi="Arial"/>
          <w:sz w:val="18"/>
          <w:szCs w:val="18"/>
          <w:color w:val="auto"/>
        </w:rPr>
        <w:t>The SEC staff issued Staff Accounting Bulletin (“SAB”) 118, which provides guidance on accounting for the tax effects of the U.S. tax reform announced on December 22, 2017 by the U.S. Government commonly referred to as the Tax Cuts and Jobs Act. SAB 118 provides a measurement period that should not extend beyond one year from the U.S. tax reform enactment date for companies to complete the accounting under Accounting Standards Codification (“ASC”) 740. In accordance with SAB 118, a company must reflect the income tax effects of those aspects of the U.S. tax reform for which the accounting under ASC 740 is complete. Specifically, the Company revalued its U.S. deferred tax assets and liabilities due to the federal income tax rate reduction from 35 percent to 21 percent. Since the Company has provided a full valuation allowance against its deferred tax assets, the revaluation of the deferred tax assets did not have a material impact on any period presented.</w:t>
      </w:r>
    </w:p>
    <w:p>
      <w:pPr>
        <w:spacing w:after="0" w:line="197" w:lineRule="exact"/>
        <w:rPr>
          <w:sz w:val="20"/>
          <w:szCs w:val="20"/>
          <w:color w:val="auto"/>
        </w:rPr>
      </w:pPr>
    </w:p>
    <w:p>
      <w:pPr>
        <w:ind w:right="19" w:firstLine="324"/>
        <w:spacing w:after="0" w:line="291" w:lineRule="auto"/>
        <w:rPr>
          <w:sz w:val="20"/>
          <w:szCs w:val="20"/>
          <w:color w:val="auto"/>
        </w:rPr>
      </w:pPr>
      <w:r>
        <w:rPr>
          <w:rFonts w:ascii="Arial" w:cs="Arial" w:eastAsia="Arial" w:hAnsi="Arial"/>
          <w:sz w:val="16"/>
          <w:szCs w:val="16"/>
          <w:color w:val="auto"/>
        </w:rPr>
        <w:t xml:space="preserve">In June 2018 the FASB issued </w:t>
      </w:r>
      <w:r>
        <w:rPr>
          <w:rFonts w:ascii="Arial" w:cs="Arial" w:eastAsia="Arial" w:hAnsi="Arial"/>
          <w:sz w:val="16"/>
          <w:szCs w:val="16"/>
          <w:i w:val="1"/>
          <w:iCs w:val="1"/>
          <w:color w:val="auto"/>
        </w:rPr>
        <w:t>ASU 2018-07 Compensation - Stock Compensation Topic 718.</w:t>
      </w:r>
      <w:r>
        <w:rPr>
          <w:rFonts w:ascii="Arial" w:cs="Arial" w:eastAsia="Arial" w:hAnsi="Arial"/>
          <w:sz w:val="16"/>
          <w:szCs w:val="16"/>
          <w:color w:val="auto"/>
        </w:rPr>
        <w:t xml:space="preserve"> This ASU was issued as part of the FASB’s simplification initiative. The amendments in this Update expand the scope of Topic 718 to include share-based payment transactions for acquiring goods and services from nonemployees. An entity should apply the requirements of Topic 718 to nonemployee awards except for specific guidance on inputs to an option pricing model and the attribution of cost (that is, the period of time over which share-based payment awards vest and the pattern of cost recognition over that period). The amendments specify that Topic 718 applies to all share-based payment transactions in which a grantor acquires goods or services to be used or consumed in a grantor’s own operations by issuing share-based</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payment awards. The amendments also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Company is currently assessing the timing of adoption as well as the effects it will have on its financial statements and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color w:val="auto"/>
        </w:rPr>
        <w:t>The Company has entered into an asset contribution agreement, effective June 30, 2017, with BioXcel, as amended and restated on November 7, 2017, or the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w:t>
      </w:r>
    </w:p>
    <w:p>
      <w:pPr>
        <w:spacing w:after="0" w:line="2" w:lineRule="exact"/>
        <w:rPr>
          <w:sz w:val="20"/>
          <w:szCs w:val="20"/>
          <w:color w:val="auto"/>
        </w:rPr>
      </w:pPr>
    </w:p>
    <w:p>
      <w:pPr>
        <w:ind w:right="140" w:firstLine="3"/>
        <w:spacing w:after="0" w:line="25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 upon the later of the 12 month anniversary of an initial public offering and the first dosing of a patient in the bridging bioavailability/ bioequivalence study for the BXCL501 program, (iv) $500 upon the later of the 12 month anniversary of an initial public offering and the first dosing of a patient in the Phase 2 PoC open label monotherapy or combination trial with Keytruda for the BXCL701 program and (v) a one-time payment of $5,000 within 60 days after the achievement of $50,000 in cumulative net sales of any product or combination of products resulting from the development and commercialization of any one of the Candidates or a product derived therefrom. With the completion of the Company’s IPO in March 2018, $1 million was charged to Research and Development costs in connection with (ii) above and was paid on April 5, 2018.</w:t>
      </w:r>
    </w:p>
    <w:p>
      <w:pPr>
        <w:spacing w:after="0" w:line="192"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or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On or before December 31, 2019, the Company will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73" w:lineRule="exact"/>
        <w:rPr>
          <w:sz w:val="20"/>
          <w:szCs w:val="20"/>
          <w:color w:val="auto"/>
        </w:rPr>
      </w:pPr>
    </w:p>
    <w:p>
      <w:pPr>
        <w:ind w:right="140" w:firstLine="324"/>
        <w:spacing w:after="0" w:line="218" w:lineRule="exact"/>
        <w:rPr>
          <w:sz w:val="20"/>
          <w:szCs w:val="20"/>
          <w:color w:val="auto"/>
        </w:rPr>
      </w:pPr>
      <w:r>
        <w:rPr>
          <w:rFonts w:ascii="Arial" w:cs="Arial" w:eastAsia="Arial" w:hAnsi="Arial"/>
          <w:sz w:val="16"/>
          <w:szCs w:val="16"/>
          <w:color w:val="auto"/>
        </w:rPr>
        <w:t>In connection with the Services Agreement, BioXcel had agreed to provide the Company a line of credit, which was capped at $1,000, or the Total Funding Amount, pursuant to the terms of a grid note, or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hereof, in each case calculated based on a 365</w:t>
      </w:r>
      <w:r>
        <w:rPr>
          <w:rFonts w:ascii="MS PGothic" w:cs="MS PGothic" w:eastAsia="MS PGothic" w:hAnsi="MS PGothic"/>
          <w:sz w:val="16"/>
          <w:szCs w:val="16"/>
          <w:color w:val="auto"/>
        </w:rPr>
        <w:t>‑</w:t>
      </w:r>
      <w:r>
        <w:rPr>
          <w:rFonts w:ascii="Arial" w:cs="Arial" w:eastAsia="Arial" w:hAnsi="Arial"/>
          <w:sz w:val="16"/>
          <w:szCs w:val="16"/>
          <w:color w:val="auto"/>
        </w:rPr>
        <w:t>day year and actual days elapsed. As of December 31, 2017, the Company had drawn down $371 under the Grid Note.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r>
      <w:tr>
        <w:trPr>
          <w:trHeight w:val="142"/>
        </w:trPr>
        <w:tc>
          <w:tcPr>
            <w:tcW w:w="46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74"/>
              <w:spacing w:after="0" w:line="142" w:lineRule="exact"/>
              <w:rPr>
                <w:sz w:val="20"/>
                <w:szCs w:val="20"/>
                <w:color w:val="auto"/>
              </w:rPr>
            </w:pPr>
            <w:r>
              <w:rPr>
                <w:rFonts w:ascii="Arial" w:cs="Arial" w:eastAsia="Arial" w:hAnsi="Arial"/>
                <w:sz w:val="14"/>
                <w:szCs w:val="14"/>
                <w:b w:val="1"/>
                <w:bCs w:val="1"/>
                <w:color w:val="auto"/>
                <w:w w:val="93"/>
              </w:rPr>
              <w:t>Unaudited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Furniture</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46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Company is required to pay to BioXcel $5,000 within 60 days after the achievement of $50,000 in cumulative net sales of any product or combination of products resulting from the development and commercialization of any one of the candidates BXCL501, BXCL701, BXCL502, and BXCL702 or a product derived therefrom.</w:t>
      </w:r>
    </w:p>
    <w:p>
      <w:pPr>
        <w:spacing w:after="0" w:line="166"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is also required to pay to BioXcel $2,000 in connection with the IPO, (x) the first $1,000 was charged to Research and Development expenses during the three months ended March 31, 2018 and paid to BioXcel on April 5,</w:t>
      </w:r>
    </w:p>
    <w:p>
      <w:pPr>
        <w:ind w:right="20"/>
        <w:spacing w:after="0" w:line="273" w:lineRule="auto"/>
        <w:rPr>
          <w:sz w:val="20"/>
          <w:szCs w:val="20"/>
          <w:color w:val="auto"/>
        </w:rPr>
      </w:pPr>
      <w:r>
        <w:rPr>
          <w:rFonts w:ascii="Arial" w:cs="Arial" w:eastAsia="Arial" w:hAnsi="Arial"/>
          <w:sz w:val="17"/>
          <w:szCs w:val="17"/>
          <w:color w:val="auto"/>
        </w:rPr>
        <w:t>2018 and (y) the second $1,000, (i) $500 of which is payable upon the later of the 12 month anniversary of an offering and the first dosing of a patient in the bridging bioavailability/bioequivalence study for the BXCL501 program and (ii) $500 of which is payable upon the later of the 12 month anniversary of an offering and the first dosing of a patient in the Phase 2 PoC open label monotherapy or combination trial with Keytruda for the BXCL701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September 30, 2018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1"/>
              </w:rPr>
              <w:t>December 31, 2017</w:t>
            </w:r>
          </w:p>
        </w:tc>
      </w:tr>
      <w:tr>
        <w:trPr>
          <w:trHeight w:val="210"/>
        </w:trPr>
        <w:tc>
          <w:tcPr>
            <w:tcW w:w="4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3"/>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benefits and travel related costs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Professional and consultant fees</w:t>
            </w: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Legal expenses</w:t>
            </w: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Drugs and clinical trial expenses</w:t>
            </w:r>
          </w:p>
        </w:tc>
        <w:tc>
          <w:tcPr>
            <w:tcW w:w="1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17"/>
        </w:trPr>
        <w:tc>
          <w:tcPr>
            <w:tcW w:w="49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15,645,545 shares of common stock outstanding as of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On March 7, 2018, the Company’s registration statement on Form S-1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expenses of $1,698.</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October 2017, the Company sold 271,839 shares of common stock with an issuance price of $4.82 per share with gross and net proceeds of $1,311.</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September 2017, the Company sold 155,709 shares of common stock with an issuance price of $4.82 per share with gross and net proceeds of $751.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As of September 30, 2018, there were 3,462,570 shares of the Company’s common stock authorized for issuance under the 2017 Stock Plan. Options granted under the 2017 Stock Plan have a term of ten years with vesting term determined by the board of directors, which is generally four years.</w:t>
      </w:r>
    </w:p>
    <w:p>
      <w:pPr>
        <w:spacing w:after="0" w:line="18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fair value of options granted during the nine months ended September 30, 2018 was estimated using the Black-Scholes option-pricing model with the following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90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237"/>
              <w:spacing w:after="0" w:line="149" w:lineRule="exact"/>
              <w:rPr>
                <w:sz w:val="20"/>
                <w:szCs w:val="20"/>
                <w:color w:val="auto"/>
              </w:rPr>
            </w:pPr>
            <w:r>
              <w:rPr>
                <w:rFonts w:ascii="Arial" w:cs="Arial" w:eastAsia="Arial" w:hAnsi="Arial"/>
                <w:sz w:val="14"/>
                <w:szCs w:val="14"/>
                <w:b w:val="1"/>
                <w:bCs w:val="1"/>
                <w:color w:val="auto"/>
                <w:w w:val="92"/>
              </w:rPr>
              <w:t>For the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5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2"/>
                <w:szCs w:val="12"/>
                <w:color w:val="auto"/>
              </w:rPr>
            </w:pPr>
          </w:p>
        </w:tc>
      </w:tr>
      <w:tr>
        <w:trPr>
          <w:trHeight w:val="171"/>
        </w:trPr>
        <w:tc>
          <w:tcPr>
            <w:tcW w:w="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2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0.41</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77.12 % -  81.49 %</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2.68 % -</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2.95 %</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5.11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864"/>
        </w:trPr>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20" w:type="dxa"/>
            <w:vAlign w:val="bottom"/>
          </w:tcPr>
          <w:p>
            <w:pPr>
              <w:jc w:val="right"/>
              <w:ind w:right="18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Non-Employees</w:t>
      </w:r>
    </w:p>
    <w:p>
      <w:pPr>
        <w:spacing w:after="0" w:line="3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r>
      <w:tr>
        <w:trPr>
          <w:trHeight w:val="149"/>
        </w:trPr>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left="277"/>
              <w:spacing w:after="0" w:line="149" w:lineRule="exact"/>
              <w:rPr>
                <w:sz w:val="20"/>
                <w:szCs w:val="20"/>
                <w:color w:val="auto"/>
              </w:rPr>
            </w:pPr>
            <w:r>
              <w:rPr>
                <w:rFonts w:ascii="Arial" w:cs="Arial" w:eastAsia="Arial" w:hAnsi="Arial"/>
                <w:sz w:val="14"/>
                <w:szCs w:val="14"/>
                <w:b w:val="1"/>
                <w:bCs w:val="1"/>
                <w:color w:val="auto"/>
                <w:w w:val="92"/>
              </w:rPr>
              <w:t>For the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6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September 30, 2018</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0.41</w:t>
            </w:r>
          </w:p>
        </w:tc>
        <w:tc>
          <w:tcPr>
            <w:tcW w:w="3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79.03 % -  79.22 %</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3.04 % -</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3.05 %</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5.87</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Since the Company recently completed its IPO, it does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 The risk-free interest rates are based on the United States Treasury yield curve in effect at the time of grant, with maturities approximating the expected term of the stock options.</w:t>
      </w:r>
    </w:p>
    <w:p>
      <w:pPr>
        <w:spacing w:after="0" w:line="18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during the period the Plan was in effect (in thousands,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114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Price per Share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1,813,524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13,894,762</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Employee options granted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143,148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1,956,672</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17,395,705</w:t>
            </w:r>
          </w:p>
        </w:tc>
        <w:tc>
          <w:tcPr>
            <w:tcW w:w="2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4020" w:type="dxa"/>
            <w:vAlign w:val="bottom"/>
          </w:tcPr>
          <w:p>
            <w:pPr>
              <w:ind w:left="220"/>
              <w:spacing w:after="0"/>
              <w:rPr>
                <w:sz w:val="20"/>
                <w:szCs w:val="20"/>
                <w:color w:val="auto"/>
              </w:rPr>
            </w:pPr>
            <w:r>
              <w:rPr>
                <w:rFonts w:ascii="Arial" w:cs="Arial" w:eastAsia="Arial" w:hAnsi="Arial"/>
                <w:sz w:val="18"/>
                <w:szCs w:val="18"/>
                <w:color w:val="auto"/>
              </w:rPr>
              <w:t>Employee options 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16,100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reclassified from Non-employee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1,093,696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Outstanding as of June 30,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2,210,850</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16,619,436</w:t>
            </w:r>
          </w:p>
        </w:tc>
        <w:tc>
          <w:tcPr>
            <w:tcW w:w="20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options granted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Options reclassified to Non-employee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(62,094)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2018</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2,268,756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13,168,713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1,471,041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10,637,435</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864"/>
        </w:trPr>
        <w:tc>
          <w:tcPr>
            <w:tcW w:w="4020" w:type="dxa"/>
            <w:vAlign w:val="bottom"/>
          </w:tcPr>
          <w:p>
            <w:pPr>
              <w:spacing w:after="0"/>
              <w:rPr>
                <w:sz w:val="24"/>
                <w:szCs w:val="24"/>
                <w:color w:val="auto"/>
              </w:rPr>
            </w:pP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4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 per Share</w:t>
            </w:r>
          </w:p>
        </w:tc>
        <w:tc>
          <w:tcPr>
            <w:tcW w:w="2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496,515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3,922,238</w:t>
            </w:r>
          </w:p>
        </w:tc>
        <w:tc>
          <w:tcPr>
            <w:tcW w:w="2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4020" w:type="dxa"/>
            <w:vAlign w:val="bottom"/>
          </w:tcPr>
          <w:p>
            <w:pPr>
              <w:ind w:left="120"/>
              <w:spacing w:after="0"/>
              <w:rPr>
                <w:sz w:val="20"/>
                <w:szCs w:val="20"/>
                <w:color w:val="auto"/>
              </w:rPr>
            </w:pPr>
            <w:r>
              <w:rPr>
                <w:rFonts w:ascii="Arial" w:cs="Arial" w:eastAsia="Arial" w:hAnsi="Arial"/>
                <w:sz w:val="18"/>
                <w:szCs w:val="18"/>
                <w:color w:val="auto"/>
              </w:rPr>
              <w:t>Non-employee 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68,256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Non-employee options forfeited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Outstanding as of March 31,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558,609</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4,820,170</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Non-employee options reclassified to Employee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(154,178)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Outstanding as of June 30, 2018</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404,431</w:t>
            </w: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3,216,507</w:t>
            </w:r>
          </w:p>
        </w:tc>
        <w:tc>
          <w:tcPr>
            <w:tcW w:w="2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Non-employee options 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020" w:type="dxa"/>
            <w:vAlign w:val="bottom"/>
          </w:tcPr>
          <w:p>
            <w:pPr>
              <w:ind w:left="120"/>
              <w:spacing w:after="0"/>
              <w:rPr>
                <w:sz w:val="20"/>
                <w:szCs w:val="20"/>
                <w:color w:val="auto"/>
              </w:rPr>
            </w:pPr>
            <w:r>
              <w:rPr>
                <w:rFonts w:ascii="Arial" w:cs="Arial" w:eastAsia="Arial" w:hAnsi="Arial"/>
                <w:sz w:val="18"/>
                <w:szCs w:val="18"/>
                <w:color w:val="auto"/>
              </w:rPr>
              <w:t>Non-employee options forfeited</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(6,162)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reclassified from Employee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62,094</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450,182</w:t>
            </w:r>
          </w:p>
        </w:tc>
        <w:tc>
          <w:tcPr>
            <w:tcW w:w="2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7"/>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September 30, 2018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497,572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3,058,485</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September 30, 2018</w:t>
            </w:r>
          </w:p>
        </w:tc>
        <w:tc>
          <w:tcPr>
            <w:tcW w:w="780" w:type="dxa"/>
            <w:vAlign w:val="bottom"/>
          </w:tcPr>
          <w:p>
            <w:pPr>
              <w:jc w:val="right"/>
              <w:spacing w:after="0"/>
              <w:rPr>
                <w:sz w:val="20"/>
                <w:szCs w:val="20"/>
                <w:color w:val="auto"/>
              </w:rPr>
            </w:pPr>
            <w:r>
              <w:rPr>
                <w:rFonts w:ascii="Arial" w:cs="Arial" w:eastAsia="Arial" w:hAnsi="Arial"/>
                <w:sz w:val="18"/>
                <w:szCs w:val="18"/>
                <w:color w:val="auto"/>
              </w:rPr>
              <w:t>136,622</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0.50</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977,546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The Company granted 468,613 options to purchase shares of common stock during the nine months ended September 30, 2018. No options were exercised during the nine months ended September 30, 2018. There were 696,242 shares available for grant as of September 30, 2018.</w:t>
      </w:r>
    </w:p>
    <w:p>
      <w:pPr>
        <w:spacing w:after="0" w:line="181"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Company recognized stock-based compensation expense under the 2017 Stock Plan of $917 and $2,778 for the three and nine months ended September 30, 2018. The Company recognized stock-based compensation expense under the 2017 Stock Plan of $230 for the three and nine months ended September 30, 2017.</w:t>
      </w:r>
    </w:p>
    <w:p>
      <w:pPr>
        <w:spacing w:after="0" w:line="16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total grant-date fair value of options was $4,081 and $1,311 for employees and non-employees, respectively, for the nine months ended September 30, 2018.</w:t>
      </w:r>
    </w:p>
    <w:p>
      <w:pPr>
        <w:spacing w:after="0" w:line="170"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Unrecognized compensation expense related to unvested awards as of September 30, 2018 was $3,249 for employees and $1,636 for non-employees and will be recognized over the remaining vesting periods of the underlying awards. The weighted-average period over which such compensation is expected to be recognized is 1.9 years for employees and 1.5 years for non-employees.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BioXcel Charges</w:t>
      </w:r>
    </w:p>
    <w:p>
      <w:pPr>
        <w:spacing w:after="0" w:line="185" w:lineRule="exact"/>
        <w:rPr>
          <w:sz w:val="20"/>
          <w:szCs w:val="20"/>
          <w:color w:val="auto"/>
        </w:rPr>
      </w:pPr>
    </w:p>
    <w:p>
      <w:pPr>
        <w:ind w:right="120" w:firstLine="359"/>
        <w:spacing w:after="0" w:line="291"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the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40" w:lineRule="exact"/>
        <w:rPr>
          <w:sz w:val="20"/>
          <w:szCs w:val="20"/>
          <w:color w:val="auto"/>
        </w:rPr>
      </w:pPr>
    </w:p>
    <w:p>
      <w:pPr>
        <w:ind w:right="160" w:firstLine="360"/>
        <w:spacing w:after="0" w:line="312" w:lineRule="auto"/>
        <w:rPr>
          <w:sz w:val="20"/>
          <w:szCs w:val="20"/>
          <w:color w:val="auto"/>
        </w:rPr>
      </w:pPr>
      <w:r>
        <w:rPr>
          <w:rFonts w:ascii="Arial" w:cs="Arial" w:eastAsia="Arial" w:hAnsi="Arial"/>
          <w:sz w:val="16"/>
          <w:szCs w:val="16"/>
          <w:color w:val="auto"/>
        </w:rPr>
        <w:t>Share based compensation expense (income), net of forfeitures, recognized by the Company in its statements of operations related to BioXcel equity awards totaled approximately $(27) and $86 for the three months ended September 30, 2018 and 2017, respectively and $172 and $286 for the nine months ended September 30, 2018 and 2017, respectively.</w:t>
      </w:r>
    </w:p>
    <w:p>
      <w:pPr>
        <w:spacing w:after="0" w:line="106" w:lineRule="exact"/>
        <w:rPr>
          <w:sz w:val="20"/>
          <w:szCs w:val="20"/>
          <w:color w:val="auto"/>
        </w:rPr>
      </w:pPr>
    </w:p>
    <w:p>
      <w:pPr>
        <w:ind w:right="160" w:firstLine="359"/>
        <w:spacing w:after="0" w:line="342" w:lineRule="auto"/>
        <w:rPr>
          <w:sz w:val="20"/>
          <w:szCs w:val="20"/>
          <w:color w:val="auto"/>
        </w:rPr>
      </w:pPr>
      <w:r>
        <w:rPr>
          <w:rFonts w:ascii="Arial" w:cs="Arial" w:eastAsia="Arial" w:hAnsi="Arial"/>
          <w:sz w:val="16"/>
          <w:szCs w:val="16"/>
          <w:color w:val="auto"/>
        </w:rPr>
        <w:t>Total share based compensation charges were approximately $889 and $316 for the three months ended September 30, 2018 and 2017, respectively and $2,949 and $516 for the nine months ended September 30, 2018 and 2017,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 allowance is provided for the amount of deferred tax assets that, based on available evidence, are not expected to be realized.</w:t>
      </w:r>
    </w:p>
    <w:p>
      <w:pPr>
        <w:spacing w:after="0" w:line="12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 a result of the Company’s cumulative losses, management has concluded that a full valuation allowance against the Company’s net deferred tax assets is appropriate. No income tax liabilities existed as of September 30, 2018 and December 31, 2017 due to the Company’s continuing operating losses.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entered into a “Swing Space” agreement on June 21, 2018 to lease approximately 5,300 square feet of office space on the 5</w:t>
      </w:r>
      <w:r>
        <w:rPr>
          <w:rFonts w:ascii="Arial" w:cs="Arial" w:eastAsia="Arial" w:hAnsi="Arial"/>
          <w:sz w:val="8"/>
          <w:szCs w:val="8"/>
          <w:color w:val="auto"/>
        </w:rPr>
        <w:t>th</w:t>
      </w:r>
      <w:r>
        <w:rPr>
          <w:rFonts w:ascii="Arial" w:cs="Arial" w:eastAsia="Arial" w:hAnsi="Arial"/>
          <w:sz w:val="18"/>
          <w:szCs w:val="18"/>
          <w:color w:val="auto"/>
        </w:rPr>
        <w:t xml:space="preserve"> floor (the “5</w:t>
      </w:r>
      <w:r>
        <w:rPr>
          <w:rFonts w:ascii="Arial" w:cs="Arial" w:eastAsia="Arial" w:hAnsi="Arial"/>
          <w:sz w:val="8"/>
          <w:szCs w:val="8"/>
          <w:color w:val="auto"/>
        </w:rPr>
        <w:t>th</w:t>
      </w:r>
      <w:r>
        <w:rPr>
          <w:rFonts w:ascii="Arial" w:cs="Arial" w:eastAsia="Arial" w:hAnsi="Arial"/>
          <w:sz w:val="18"/>
          <w:szCs w:val="18"/>
          <w:color w:val="auto"/>
        </w:rPr>
        <w:t xml:space="preserve"> Floor Lease”) of the building located at 555 Long Wharf Drive, New Haven, Connecticut. On August 20, 2018, the Company entered into an agreement to lease approximately 11,040 square feet of space (the “12</w:t>
      </w:r>
      <w:r>
        <w:rPr>
          <w:rFonts w:ascii="Arial" w:cs="Arial" w:eastAsia="Arial" w:hAnsi="Arial"/>
          <w:sz w:val="8"/>
          <w:szCs w:val="8"/>
          <w:color w:val="auto"/>
        </w:rPr>
        <w:t>th</w:t>
      </w:r>
      <w:r>
        <w:rPr>
          <w:rFonts w:ascii="Arial" w:cs="Arial" w:eastAsia="Arial" w:hAnsi="Arial"/>
          <w:sz w:val="18"/>
          <w:szCs w:val="18"/>
          <w:color w:val="auto"/>
        </w:rPr>
        <w:t xml:space="preserve"> Floor Lease”)</w:t>
      </w:r>
    </w:p>
    <w:p>
      <w:pPr>
        <w:spacing w:after="0" w:line="18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term of the 5</w:t>
      </w:r>
      <w:r>
        <w:rPr>
          <w:rFonts w:ascii="Arial" w:cs="Arial" w:eastAsia="Arial" w:hAnsi="Arial"/>
          <w:sz w:val="8"/>
          <w:szCs w:val="8"/>
          <w:color w:val="auto"/>
        </w:rPr>
        <w:t>th</w:t>
      </w:r>
      <w:r>
        <w:rPr>
          <w:rFonts w:ascii="Arial" w:cs="Arial" w:eastAsia="Arial" w:hAnsi="Arial"/>
          <w:sz w:val="18"/>
          <w:szCs w:val="18"/>
          <w:color w:val="auto"/>
        </w:rPr>
        <w:t xml:space="preserve"> Floor Lease is through the earlier of the date the Company conducts business in the 12</w:t>
      </w:r>
      <w:r>
        <w:rPr>
          <w:rFonts w:ascii="Arial" w:cs="Arial" w:eastAsia="Arial" w:hAnsi="Arial"/>
          <w:sz w:val="8"/>
          <w:szCs w:val="8"/>
          <w:color w:val="auto"/>
        </w:rPr>
        <w:t>th</w:t>
      </w:r>
      <w:r>
        <w:rPr>
          <w:rFonts w:ascii="Arial" w:cs="Arial" w:eastAsia="Arial" w:hAnsi="Arial"/>
          <w:sz w:val="18"/>
          <w:szCs w:val="18"/>
          <w:color w:val="auto"/>
        </w:rPr>
        <w:t xml:space="preserve"> Floor space, or April 30, 2019. No base rent is payable during this period, however, the Company is obligated to pay a pro-rata electricity charge each month.</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landlord is required to deliver the 12</w:t>
      </w:r>
      <w:r>
        <w:rPr>
          <w:rFonts w:ascii="Arial" w:cs="Arial" w:eastAsia="Arial" w:hAnsi="Arial"/>
          <w:sz w:val="8"/>
          <w:szCs w:val="8"/>
          <w:color w:val="auto"/>
        </w:rPr>
        <w:t>th</w:t>
      </w:r>
      <w:r>
        <w:rPr>
          <w:rFonts w:ascii="Arial" w:cs="Arial" w:eastAsia="Arial" w:hAnsi="Arial"/>
          <w:sz w:val="18"/>
          <w:szCs w:val="18"/>
          <w:color w:val="auto"/>
        </w:rPr>
        <w:t xml:space="preserve"> Floor premises to the Company as soon as practicable after the current tenant vacates the premises (the “Commencement Date”).</w:t>
      </w:r>
    </w:p>
    <w:p>
      <w:pPr>
        <w:spacing w:after="0" w:line="17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initial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 calendar month immediately following the seventh (7th) anniversary of the date which the earliest of (x) ninety (90) days from the Commencement Date, (y) the date on which Tenant’s Work (as defined in the Lease) is substantially completed and (z) the date on which the Company first occupies any portion of the Premises for the conduct of its business (the “Rent Commencement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improvement costs are expected to aggregate approximately $600.</w:t>
      </w:r>
    </w:p>
    <w:p>
      <w:pPr>
        <w:spacing w:after="0" w:line="22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Future minimum lease payments under this non-cancelable operating lease are as follows as of the Rent Commencement Date:</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40" w:type="dxa"/>
            <w:vAlign w:val="bottom"/>
            <w:gridSpan w:val="3"/>
          </w:tcPr>
          <w:p>
            <w:pPr>
              <w:jc w:val="right"/>
              <w:ind w:right="1970"/>
              <w:spacing w:after="0"/>
              <w:rPr>
                <w:sz w:val="20"/>
                <w:szCs w:val="20"/>
                <w:color w:val="auto"/>
              </w:rPr>
            </w:pPr>
            <w:r>
              <w:rPr>
                <w:rFonts w:ascii="Arial" w:cs="Arial" w:eastAsia="Arial" w:hAnsi="Arial"/>
                <w:sz w:val="18"/>
                <w:szCs w:val="18"/>
                <w:b w:val="1"/>
                <w:bCs w:val="1"/>
                <w:color w:val="auto"/>
              </w:rPr>
              <w:t>Lease Year</w:t>
            </w: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88"/>
              </w:rPr>
              <w:t>Amount</w:t>
            </w:r>
          </w:p>
        </w:tc>
      </w:tr>
      <w:tr>
        <w:trPr>
          <w:trHeight w:val="21"/>
        </w:trPr>
        <w:tc>
          <w:tcPr>
            <w:tcW w:w="11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4040" w:type="dxa"/>
            <w:vAlign w:val="bottom"/>
            <w:gridSpan w:val="3"/>
            <w:shd w:val="clear" w:color="auto" w:fill="CCEEFF"/>
          </w:tcPr>
          <w:p>
            <w:pPr>
              <w:jc w:val="right"/>
              <w:ind w:right="910"/>
              <w:spacing w:after="0"/>
              <w:rPr>
                <w:sz w:val="20"/>
                <w:szCs w:val="20"/>
                <w:color w:val="auto"/>
              </w:rPr>
            </w:pPr>
            <w:r>
              <w:rPr>
                <w:rFonts w:ascii="Arial" w:cs="Arial" w:eastAsia="Arial" w:hAnsi="Arial"/>
                <w:sz w:val="18"/>
                <w:szCs w:val="18"/>
                <w:color w:val="auto"/>
              </w:rPr>
              <w:t>1</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r>
      <w:tr>
        <w:trPr>
          <w:trHeight w:val="216"/>
        </w:trPr>
        <w:tc>
          <w:tcPr>
            <w:tcW w:w="4040" w:type="dxa"/>
            <w:vAlign w:val="bottom"/>
            <w:gridSpan w:val="3"/>
          </w:tcPr>
          <w:p>
            <w:pPr>
              <w:jc w:val="right"/>
              <w:ind w:right="91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18"/>
                <w:szCs w:val="18"/>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192</w:t>
            </w:r>
          </w:p>
        </w:tc>
      </w:tr>
      <w:tr>
        <w:trPr>
          <w:trHeight w:val="216"/>
        </w:trPr>
        <w:tc>
          <w:tcPr>
            <w:tcW w:w="4040" w:type="dxa"/>
            <w:vAlign w:val="bottom"/>
            <w:gridSpan w:val="3"/>
            <w:shd w:val="clear" w:color="auto" w:fill="CCEEFF"/>
          </w:tcPr>
          <w:p>
            <w:pPr>
              <w:jc w:val="right"/>
              <w:ind w:right="910"/>
              <w:spacing w:after="0"/>
              <w:rPr>
                <w:sz w:val="20"/>
                <w:szCs w:val="20"/>
                <w:color w:val="auto"/>
              </w:rPr>
            </w:pPr>
            <w:r>
              <w:rPr>
                <w:rFonts w:ascii="Arial" w:cs="Arial" w:eastAsia="Arial" w:hAnsi="Arial"/>
                <w:sz w:val="18"/>
                <w:szCs w:val="18"/>
                <w:color w:val="auto"/>
              </w:rPr>
              <w:t>3</w:t>
            </w:r>
          </w:p>
        </w:tc>
        <w:tc>
          <w:tcPr>
            <w:tcW w:w="13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r>
        <w:trPr>
          <w:trHeight w:val="216"/>
        </w:trPr>
        <w:tc>
          <w:tcPr>
            <w:tcW w:w="4040" w:type="dxa"/>
            <w:vAlign w:val="bottom"/>
            <w:gridSpan w:val="3"/>
          </w:tcPr>
          <w:p>
            <w:pPr>
              <w:jc w:val="right"/>
              <w:ind w:right="910"/>
              <w:spacing w:after="0"/>
              <w:rPr>
                <w:sz w:val="20"/>
                <w:szCs w:val="20"/>
                <w:color w:val="auto"/>
              </w:rPr>
            </w:pPr>
            <w:r>
              <w:rPr>
                <w:rFonts w:ascii="Arial" w:cs="Arial" w:eastAsia="Arial" w:hAnsi="Arial"/>
                <w:sz w:val="18"/>
                <w:szCs w:val="18"/>
                <w:color w:val="auto"/>
              </w:rPr>
              <w:t>4</w:t>
            </w:r>
          </w:p>
        </w:tc>
        <w:tc>
          <w:tcPr>
            <w:tcW w:w="1300" w:type="dxa"/>
            <w:vAlign w:val="bottom"/>
          </w:tcPr>
          <w:p>
            <w:pPr>
              <w:spacing w:after="0"/>
              <w:rPr>
                <w:sz w:val="18"/>
                <w:szCs w:val="18"/>
                <w:color w:val="auto"/>
              </w:rPr>
            </w:pPr>
          </w:p>
        </w:tc>
        <w:tc>
          <w:tcPr>
            <w:tcW w:w="1900" w:type="dxa"/>
            <w:vAlign w:val="bottom"/>
            <w:gridSpan w:val="3"/>
          </w:tcPr>
          <w:p>
            <w:pPr>
              <w:jc w:val="right"/>
              <w:ind w:right="60"/>
              <w:spacing w:after="0"/>
              <w:rPr>
                <w:sz w:val="20"/>
                <w:szCs w:val="20"/>
                <w:color w:val="auto"/>
              </w:rPr>
            </w:pPr>
            <w:r>
              <w:rPr>
                <w:rFonts w:ascii="Arial" w:cs="Arial" w:eastAsia="Arial" w:hAnsi="Arial"/>
                <w:sz w:val="18"/>
                <w:szCs w:val="18"/>
                <w:color w:val="auto"/>
              </w:rPr>
              <w:t>220</w:t>
            </w:r>
          </w:p>
        </w:tc>
      </w:tr>
      <w:tr>
        <w:trPr>
          <w:trHeight w:val="216"/>
        </w:trPr>
        <w:tc>
          <w:tcPr>
            <w:tcW w:w="4040" w:type="dxa"/>
            <w:vAlign w:val="bottom"/>
            <w:gridSpan w:val="3"/>
            <w:shd w:val="clear" w:color="auto" w:fill="CCEEFF"/>
          </w:tcPr>
          <w:p>
            <w:pPr>
              <w:jc w:val="right"/>
              <w:ind w:right="910"/>
              <w:spacing w:after="0"/>
              <w:rPr>
                <w:sz w:val="20"/>
                <w:szCs w:val="20"/>
                <w:color w:val="auto"/>
              </w:rPr>
            </w:pPr>
            <w:r>
              <w:rPr>
                <w:rFonts w:ascii="Arial" w:cs="Arial" w:eastAsia="Arial" w:hAnsi="Arial"/>
                <w:sz w:val="18"/>
                <w:szCs w:val="18"/>
                <w:color w:val="auto"/>
              </w:rPr>
              <w:t>5</w:t>
            </w:r>
          </w:p>
        </w:tc>
        <w:tc>
          <w:tcPr>
            <w:tcW w:w="13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1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tcPr>
          <w:p>
            <w:pPr>
              <w:jc w:val="right"/>
              <w:ind w:right="910"/>
              <w:spacing w:after="0"/>
              <w:rPr>
                <w:sz w:val="20"/>
                <w:szCs w:val="20"/>
                <w:color w:val="auto"/>
              </w:rPr>
            </w:pPr>
            <w:r>
              <w:rPr>
                <w:rFonts w:ascii="Arial" w:cs="Arial" w:eastAsia="Arial" w:hAnsi="Arial"/>
                <w:sz w:val="18"/>
                <w:szCs w:val="18"/>
                <w:color w:val="auto"/>
              </w:rPr>
              <w:t>Thereafter</w:t>
            </w:r>
          </w:p>
        </w:tc>
        <w:tc>
          <w:tcPr>
            <w:tcW w:w="130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468</w:t>
            </w:r>
          </w:p>
        </w:tc>
      </w:tr>
      <w:tr>
        <w:trPr>
          <w:trHeight w:val="217"/>
        </w:trPr>
        <w:tc>
          <w:tcPr>
            <w:tcW w:w="1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1,507</w:t>
            </w: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 prevailing market rates but not less than the rental rate at the end of the initial lease term.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This Quarterly Report on Form 10-Q, or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51" w:lineRule="exact"/>
        <w:rPr>
          <w:sz w:val="20"/>
          <w:szCs w:val="20"/>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initiate clinical trials for BXCL501, BXCL701 and our other product candidates;</w:t>
      </w:r>
    </w:p>
    <w:p>
      <w:pPr>
        <w:spacing w:after="0" w:line="184"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184"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198"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to seek to enter into collaborations for the development and commercialization of certain product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candidates;</w:t>
      </w:r>
    </w:p>
    <w:p>
      <w:pPr>
        <w:spacing w:after="0" w:line="170" w:lineRule="exact"/>
        <w:rPr>
          <w:rFonts w:ascii="Arial" w:cs="Arial" w:eastAsia="Arial" w:hAnsi="Arial"/>
          <w:sz w:val="17"/>
          <w:szCs w:val="17"/>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184"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98"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any products for which we receive marketing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approval;</w:t>
      </w:r>
    </w:p>
    <w:p>
      <w:pPr>
        <w:spacing w:after="0" w:line="170" w:lineRule="exact"/>
        <w:rPr>
          <w:rFonts w:ascii="Arial" w:cs="Arial" w:eastAsia="Arial" w:hAnsi="Arial"/>
          <w:sz w:val="16"/>
          <w:szCs w:val="16"/>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84"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198"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96" w:lineRule="exact"/>
        <w:rPr>
          <w:rFonts w:ascii="Arial" w:cs="Arial" w:eastAsia="Arial" w:hAnsi="Arial"/>
          <w:sz w:val="17"/>
          <w:szCs w:val="17"/>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84"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198" w:lineRule="exact"/>
        <w:rPr>
          <w:rFonts w:ascii="Arial" w:cs="Arial" w:eastAsia="Arial" w:hAnsi="Arial"/>
          <w:sz w:val="18"/>
          <w:szCs w:val="18"/>
          <w:color w:val="auto"/>
        </w:rPr>
      </w:pPr>
    </w:p>
    <w:p>
      <w:pPr>
        <w:ind w:left="1040" w:hanging="713"/>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w:t>
      </w:r>
    </w:p>
    <w:p>
      <w:pPr>
        <w:spacing w:after="0" w:line="18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3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related notes appearing elsewhere in this Quarterly Report and our final prospectus for our initial public offering filed pursuant to Rule 424(b)(4) under the Securities Act of 1933, as amended, or the Securities Act, with the Securities and Exchange Commission, or the SEC, on March 9, 2018.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 We believe that this differentiated approach has the potential to reduce the cost and time of drug development in diseases with substantial unmet medical need. Our two most advanced clinical development programs are BXCL501, a sublingual thin film formulation of the adrenergic receptor agonist dexmedetomidine, or Dex, for acute treatment of agitation resulting from neurological and psychiatric disorders, and BXCL701, an immuno-oncology agent for treatment of a rare form of prostate cancer and pancreatic cancer.</w:t>
      </w:r>
    </w:p>
    <w:p>
      <w:pPr>
        <w:spacing w:after="0" w:line="179"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During the third quarter of 2018, the Company made several advances in the development of its two lead clinical programs, BXCL501, a proprietary sublingual thin film formulation of dexmedetomidine (Dex), and BXCL701, an orally-available systemic innate-immune activator.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(BXCL501)-Neuroscience Program</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began planning for a first-in-human pharmacokinetic (bioavailability) and safety study for the sublingual thin film formulation of Dex that is expected to be initiated by the end of 2018 following approval of the investigational new drug (IND) application. A data read-out from this study is expected in the first half of 2019.</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Company;</w:t>
      </w:r>
    </w:p>
    <w:p>
      <w:pPr>
        <w:spacing w:after="0" w:line="212" w:lineRule="exact"/>
        <w:rPr>
          <w:sz w:val="20"/>
          <w:szCs w:val="20"/>
          <w:color w:val="auto"/>
        </w:rPr>
      </w:pPr>
    </w:p>
    <w:p>
      <w:pPr>
        <w:ind w:left="980" w:right="300" w:hanging="329"/>
        <w:spacing w:after="0" w:line="234"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Received valuable feedback and guidance on further development of BXCL501 during a pre-investigational new drug meeting with FDA;</w:t>
      </w:r>
    </w:p>
    <w:p>
      <w:pPr>
        <w:spacing w:after="0" w:line="107" w:lineRule="exact"/>
        <w:rPr>
          <w:rFonts w:ascii="Courier New" w:cs="Courier New" w:eastAsia="Courier New" w:hAnsi="Courier New"/>
          <w:sz w:val="18"/>
          <w:szCs w:val="18"/>
          <w:color w:val="auto"/>
        </w:rPr>
      </w:pPr>
    </w:p>
    <w:p>
      <w:pPr>
        <w:ind w:left="980" w:right="420" w:hanging="329"/>
        <w:spacing w:after="0" w:line="234"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Appointed a clinical research organization (CRO) to support the company in conducting and managing the pharmacokinetic and safety clinical study;</w:t>
      </w:r>
    </w:p>
    <w:p>
      <w:pPr>
        <w:spacing w:after="0" w:line="107" w:lineRule="exact"/>
        <w:rPr>
          <w:rFonts w:ascii="Courier New" w:cs="Courier New" w:eastAsia="Courier New" w:hAnsi="Courier New"/>
          <w:sz w:val="18"/>
          <w:szCs w:val="18"/>
          <w:color w:val="auto"/>
        </w:rPr>
      </w:pPr>
    </w:p>
    <w:p>
      <w:pPr>
        <w:ind w:left="980" w:right="240" w:hanging="329"/>
        <w:spacing w:after="0" w:line="227" w:lineRule="auto"/>
        <w:tabs>
          <w:tab w:leader="none" w:pos="98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Completed manufacturing of Company’s proprietary sublingual thin film formulation of Dex, and the drug is available for clinical studies</w:t>
      </w:r>
    </w:p>
    <w:p>
      <w:pPr>
        <w:spacing w:after="0" w:line="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In June 2018, the Company announced positive results from its Phase 1b pharmacokinetic, or PK safety study using the IV formulation of Dex in healthy elderly subjects. This was the first part of a trial supporting potential dosing strengths for the sublingual thin film for Dex. We also announced the initiation of Phase 1b PK safety study using the IV formulation of Dex in schizophrenia patients and senile dementia of the Alzheimer’s type (SDAT) or SADT, patients. We expect to report data from both schizophrenia and SDAT studies during the fourth quarter of 2018.</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(BXCL701)-Immuno-Oncology Program-</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In September 2018 we filed an IND application with the FDA for a Phase 1b/2 clinical study to evaluate BXCL 701 in combination with pembrolizumab (Keytruda®) in treatment emergent neuroendocrine prostate cancer, (tNEPC). In October we received notice from the FDA that the Company may proceed with its planned human clinical investigation, which we expect to initiate prior to year-end. Data from the pharmacokinetic safety and efficacy study of BXCL701 in tNEPC is expected to be available throughout 2019.</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this trial the Company also:</w:t>
      </w:r>
    </w:p>
    <w:p>
      <w:pPr>
        <w:spacing w:after="0" w:line="212" w:lineRule="exact"/>
        <w:rPr>
          <w:sz w:val="20"/>
          <w:szCs w:val="20"/>
          <w:color w:val="auto"/>
        </w:rPr>
      </w:pPr>
    </w:p>
    <w:p>
      <w:pPr>
        <w:ind w:left="980" w:hanging="329"/>
        <w:spacing w:after="0"/>
        <w:tabs>
          <w:tab w:leader="none" w:pos="9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Completed manufacturing of BXCL701 drug product, available for clinical studies; and</w:t>
      </w:r>
    </w:p>
    <w:p>
      <w:pPr>
        <w:spacing w:after="0" w:line="114" w:lineRule="exact"/>
        <w:rPr>
          <w:rFonts w:ascii="Courier New" w:cs="Courier New" w:eastAsia="Courier New" w:hAnsi="Courier New"/>
          <w:sz w:val="18"/>
          <w:szCs w:val="18"/>
          <w:color w:val="auto"/>
        </w:rPr>
      </w:pPr>
    </w:p>
    <w:p>
      <w:pPr>
        <w:ind w:left="980" w:hanging="329"/>
        <w:spacing w:after="0"/>
        <w:tabs>
          <w:tab w:leader="none" w:pos="9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Selected a leading CRO to support the company in conducting and managing clinical studies;</w:t>
      </w:r>
    </w:p>
    <w:p>
      <w:pPr>
        <w:spacing w:after="0" w:line="12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Also, in September 2018, we entered an immuno-oncology partnership with Nektar Therapeutics to develop combination of BXCL701, Nektar Therapeutics’ NKTR-214 and a checkpoint inhibitor as a potential treatment for pancreatic cancer. Under the terms of the expanded collaboration agreement, the Company will be responsible for initiating and managing the clinical program. The Company and Nektar will share the cost of trials. The primary objectives of the study are to evaluate safety and efficacy of the triplet combination of BXCL701, NKTR-214 and a checkpoint inhibitor for the treatment of patients with unresectable or metastatic pancreatic cancer. Additionally, correlative immune activation markers will also be evaluated in blood and tumor tissue. This trial will commence following approval of an IND application.</w:t>
      </w:r>
    </w:p>
    <w:p>
      <w:pPr>
        <w:spacing w:after="0" w:line="167"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were formed to develop first-in-class, high value therapeutics by leveraging EvolverAI, a research and development engine created and owned by our parent, BioXcel Corporation, or BioXcel. We believe the combination of our therapeutic area expertise, our ability to generate product candidates through our exclusive collaborative relationship with BioXcel in the areas of neuroscience and immuno-oncology gives us a significant competitive advantage. EvolverAI was developed over the last decade and integrates millions of fragmented data points using artificial intelligence and proprietary machine learning algorithms. After evaluating multiple product candidates using EvolverAI, we selected our lead programs because our analysis indicated these drugs may have utility in new therapeutic indices where there is substantial unmet medical needs and limited competition. By focusing on clinical candidates with relevant human data, we believe our approach will help us design more efficient clinical trials, thereby accelerating our product candidates’ time to market. We retain global development and commercialization rights to these two programs.</w:t>
      </w:r>
    </w:p>
    <w:p>
      <w:pPr>
        <w:spacing w:after="0" w:line="16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Since our inception in March 2017, we have devoted substantially all of our resources to organizing and staffing our company, business planning, raising capital, acquiring and developing product candidates and related intellectual property rights, planning for commercialization, and conducting research and development activities for our product candidates. We do not have any products approved for sale and have not generated any revenue from product sales. Prior to our IPO in March 2018, we funded our operations primarily through the sales of approximately $4.0 million of common shares through private placement and loans from our Parent.</w:t>
      </w:r>
    </w:p>
    <w:p>
      <w:pPr>
        <w:spacing w:after="0" w:line="19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March 7, 2018, our registration statement on Form S-1 relating to our IPO was declared effective by the SEC. The IPO closed on March 12, 2018 and we issued and sold 5,454,545 shares of common stock at a public offering price of $11.00 per share. Gross proceeds totaled $60.0 million and net proceeds were $54.1 million after deducting underwriting discounts and commissions of $4.2 million and other offering expenses of approximately $1.7 million. All offering costs directly associated with the offering were recorded in stockholders’ equity as a reduction of the gross proceeds. The other offering expenses included legal, accounting, printing and filing fees.</w:t>
      </w:r>
    </w:p>
    <w:p>
      <w:pPr>
        <w:spacing w:after="0" w:line="178"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To date, we have not generated any revenue, we have incurred net losses and all of our operations have been financed by loans and advances from BioXcel and sales of our common stock. Our net losses were approximately $12.2 million and $2.0 million for the nine months ended September 30, 2018 and 2017, respectively.</w:t>
      </w:r>
    </w:p>
    <w:p>
      <w:pPr>
        <w:spacing w:after="0" w:line="166"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Our net losses have resulted from costs incurred in developing the drugs in our pipeline, planning, preparing and conducting clinical trials and general and administrative activities associated with our operations. We expect to continue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to incur significant expenses and corresponding increased operating losses for the foreseeable future as we continue to develop our pipeline. Our costs may further increase as we conduct clinical trials and seek regulatory approval for and prepare to commercialize our candidates. We expect to incur significant expenses to continue to build the infrastructure necessary to support our expanded operations, clinical trials, commercialization, including manufacturing, marketing, sales and distribution functions.</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will not generate revenue from product sales unless and until we successfully complete clinical development and obtain regulatory approval for our product candidates. We expect to continue to incur significant expenses for at least the next several years as we advance our product candidates from discovery through preclinical development and clinical trials and seek regulatory approval and pursue commercialization of any approved product candidate. In addition, if we obtain marketing approval for any of our product candidates, we expect to incur significant commercialization expenses related to product manufacturing, marketing, sales and distribution. In addition, we may incur expenses in connection with the in-license or acquisition of additional product candidates. We also expect to incur additional costs associated with operating as a public company, including significant legal, accounting, investor relations and other expenses that we did not incur as a private company.</w:t>
      </w:r>
    </w:p>
    <w:p>
      <w:pPr>
        <w:spacing w:after="0" w:line="18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As of September 30, 2018, we had cash of approximately $47.1 million, which we believe will enable us to fund our operating expenses and capital expenditure requirements for at least eighteen months from the date of this Quarterly Report on Form 10-Q. We have based these estimates on assumptions that may prove to be wrong, and we could exhaust our available capital resources sooner than we expect.</w:t>
      </w:r>
    </w:p>
    <w:p>
      <w:pPr>
        <w:spacing w:after="0" w:line="18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were incorporated on March 29, 2017, as a wholly-owned subsidiary of BioXcel. Prior to our March 2018 IPO our activities were funded by BioXcel and a series of private placements of shares of our common stock which include the following:</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January and February 2018, we issued 283,452 shares of common stock with an issuance price of $6.88 per share for gross and net proceeds of $1,950.</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October 2017 we sold 271,839 shares of common stock with an issuance price of $4.82 per share with gross and net proceeds of $1,311.</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September 29, 2017, we sold 155,709 shares of common stock with an issuance price of $4.82 per share with gross and net proceeds of $751.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BioXcel</w:t>
      </w:r>
    </w:p>
    <w:p>
      <w:pPr>
        <w:spacing w:after="0" w:line="22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We entered into an asset contribution agreement, effective June 30, 2017, with BioXcel, as amended and restated on November 7, 2017, or the Contribution Agreement, pursuant to which BioXcel agreed to contribute to us, and we agreed to acquire from BioXcel, all of BioXcel’s rights, title and interest in and to BXCL501, BXCL701, BXCL502 and BXCL702, collectively, the Candidates, and all of the assets and liabilities associated with the Candidates, 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consideration for (i) 9,480,000 shares of our common stock, (ii) $1.0 million upon completion of our IPO, (iii) $500.0 upon the later of the 12 month anniversary of our IPO and the first dosing of a patient in the bridging bioavailability/bioequivalence study for the BXCL501 program, (iv) $500.0 upon the later of the 12 month anniversary of our IPO and the first dosing of a patient in the Phase 2 PoC open label monotherapy or combination trial with Keytruda for the BXCL701 program and (v) a one-time payment of $5.0 million within 60 days after the achievement of $50.0 million in cumulative net sales of any product or combination of products resulting from the development and commercialization of any one of the Candidates or a product derived therefrom. In addition, pursuant to the Contribution Agreement, upon completion of our IPO, BioXcel granted us a first right to negotiate exclusive rights to any additional product candidates in the fields of neuroscience and immuno-oncology that BioXcel may identify on its own, excluding the Candidates, and not in connection with BioXcel’s provision of services to us under the Services Agreement as defined and described below. This option for first negotiation shall be valid for a period of five years from the date of our IPO. With the completion of our IPO in March 2018, $1.0 million was charged to Research and Development costs and included in accounts payable in connection with the Contribution Agreement and was paid on April 5, 2018.</w:t>
      </w:r>
    </w:p>
    <w:p>
      <w:pPr>
        <w:spacing w:after="0" w:line="188" w:lineRule="exact"/>
        <w:rPr>
          <w:sz w:val="20"/>
          <w:szCs w:val="20"/>
          <w:color w:val="auto"/>
        </w:rPr>
      </w:pPr>
    </w:p>
    <w:p>
      <w:pPr>
        <w:ind w:right="100" w:firstLine="324"/>
        <w:spacing w:after="0" w:line="287"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or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73"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On or before December 31, 2019, we shall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 million in the aggregate and not be payable prior to proof of concept in humans and (ii) commercialization milestones shall be based on reaching annual net sales levels, be limited to 3% of the applicable net sales level, and not exceed $30 million in the aggregate. BioXcel shall continue to make such product identification and related services available to us for at least five years from June 30, 2017.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73"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connection with the Services Agreement, BioXcel agreed to provide us a line of credit, which was capped at $1.0 million, or the Total Funding Amount, pursuant to the terms of a grid note, or the Grid Note. The Grid Note was payable upon the earlier of (i) the completion of an IPO and (ii) December 31, 2018, together with interest on the unpaid balance of each advance made under the Grid Note, which shall accrue at a rate per annum equal to the applicable federal rate for short-term loans as of the date hereof, in each case calculated based on a 365-day year and actual days elapsed.</w:t>
      </w:r>
    </w:p>
    <w:p>
      <w:pPr>
        <w:spacing w:after="0" w:line="173"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our behalf were paid to the Parent following the completion of our IPO on March 20,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For periods prior to June 30, 2017, our financial statements are presented on a carve-out basis from the financial records of BioXcel. The carve-out includes reasonable allocations of assets and liabilities and expenses attributable to our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results reflect amounts specifically attributable to the BTI Business, which include expenses, assets and liabilities of BioXcel relating to the Candidates that were contributed to us by BioXcel under the Contribution Agreement for the period from January 1, 2015 until June 30, 2017. The Services Agreement provides us with certain general and administrative and development support services that became effective June 30, 2017.</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However, consistent with accounting regulations, we have assumed that we were a separate business within BioXcel and we have reflected the related assets, liabilities and expenses in our results for periods prior to and post incorporation. These financial statements are presented on a carve-out basis and have been derived from the financial statements and accounting records of BioXcel and include reasonable allocations for assets and liabilities and expenses attributable to the business of the product candidates that were contributed.</w:t>
      </w:r>
    </w:p>
    <w:p>
      <w:pPr>
        <w:spacing w:after="0" w:line="18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Management believes the assumptions underlying the allocations of indirect expenses in the carve-out financial information are reasonable, however, our financial position, results of operations and cash flows may have been materially different if it had operated as a stand-alone entity. For the nine month period ending September 30, 2017 results include carve-out amounts from our parent for the period January 1, 2017 through June 30, 2017 and as a standalone entity for the period July 1, 2017 through September 30, 2017. For the nine months ended September 30, 2018 the results are on a stand-alone entity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clinical and pre-clinical candidates, which includes payments to BioXcel, our Parent.</w:t>
      </w:r>
    </w:p>
    <w:p>
      <w:pPr>
        <w:spacing w:after="0" w:line="170" w:lineRule="exact"/>
        <w:rPr>
          <w:sz w:val="20"/>
          <w:szCs w:val="20"/>
          <w:color w:val="auto"/>
        </w:rPr>
      </w:pPr>
    </w:p>
    <w:p>
      <w:pPr>
        <w:ind w:left="660" w:right="12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70" w:lineRule="exact"/>
        <w:rPr>
          <w:rFonts w:ascii="Arial" w:cs="Arial" w:eastAsia="Arial" w:hAnsi="Arial"/>
          <w:sz w:val="18"/>
          <w:szCs w:val="18"/>
          <w:color w:val="auto"/>
        </w:rPr>
      </w:pPr>
    </w:p>
    <w:p>
      <w:pPr>
        <w:ind w:left="660" w:right="12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sites that conduct our non-clinical studies and clinical trials</w:t>
      </w:r>
    </w:p>
    <w:p>
      <w:pPr>
        <w:spacing w:after="0" w:line="170" w:lineRule="exact"/>
        <w:rPr>
          <w:rFonts w:ascii="Arial" w:cs="Arial" w:eastAsia="Arial" w:hAnsi="Arial"/>
          <w:sz w:val="18"/>
          <w:szCs w:val="18"/>
          <w:color w:val="auto"/>
        </w:rPr>
      </w:pPr>
    </w:p>
    <w:p>
      <w:pPr>
        <w:ind w:left="660" w:right="5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pre-clinical and clinical trial materials and lab supplies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depreciation and other expenses.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expense research and development costs to operations as incurred. Historically we have not segmented costs associated with our various development programs, however, beginning January 1, 2018, we have begun assigning costs to our individual development candidates.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research and development costs by program for the nine months ended September 30, 2018 are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5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BXCL 701</w:t>
            </w:r>
          </w:p>
        </w:tc>
        <w:tc>
          <w:tcPr>
            <w:tcW w:w="57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2,755</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57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648"/>
        </w:trPr>
        <w:tc>
          <w:tcPr>
            <w:tcW w:w="2620" w:type="dxa"/>
            <w:vAlign w:val="bottom"/>
          </w:tcPr>
          <w:p>
            <w:pPr>
              <w:spacing w:after="0"/>
              <w:rPr>
                <w:sz w:val="24"/>
                <w:szCs w:val="24"/>
                <w:color w:val="auto"/>
              </w:rPr>
            </w:pPr>
          </w:p>
        </w:tc>
        <w:tc>
          <w:tcPr>
            <w:tcW w:w="5780" w:type="dxa"/>
            <w:vAlign w:val="bottom"/>
          </w:tcPr>
          <w:p>
            <w:pPr>
              <w:jc w:val="right"/>
              <w:ind w:right="3690"/>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4"/>
                <w:szCs w:val="24"/>
                <w:color w:val="auto"/>
              </w:rPr>
            </w:pPr>
          </w:p>
        </w:tc>
      </w:tr>
      <w:tr>
        <w:trPr>
          <w:trHeight w:val="129"/>
        </w:trPr>
        <w:tc>
          <w:tcPr>
            <w:tcW w:w="2620" w:type="dxa"/>
            <w:vAlign w:val="bottom"/>
            <w:tcBorders>
              <w:bottom w:val="single" w:sz="8" w:color="auto"/>
            </w:tcBorders>
          </w:tcPr>
          <w:p>
            <w:pPr>
              <w:spacing w:after="0"/>
              <w:rPr>
                <w:sz w:val="11"/>
                <w:szCs w:val="11"/>
                <w:color w:val="auto"/>
              </w:rPr>
            </w:pPr>
          </w:p>
        </w:tc>
        <w:tc>
          <w:tcPr>
            <w:tcW w:w="57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777"/>
        </w:trPr>
        <w:tc>
          <w:tcPr>
            <w:tcW w:w="8100" w:type="dxa"/>
            <w:vAlign w:val="bottom"/>
            <w:gridSpan w:val="2"/>
          </w:tcPr>
          <w:p>
            <w:pPr>
              <w:spacing w:after="0"/>
              <w:rPr>
                <w:sz w:val="20"/>
                <w:szCs w:val="20"/>
                <w:color w:val="auto"/>
              </w:rPr>
            </w:pPr>
            <w:r>
              <w:rPr>
                <w:rFonts w:ascii="Arial" w:cs="Arial" w:eastAsia="Arial" w:hAnsi="Arial"/>
                <w:sz w:val="18"/>
                <w:szCs w:val="18"/>
                <w:color w:val="auto"/>
              </w:rPr>
              <w:t>BXCL 702</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Research and development support services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r>
      <w:tr>
        <w:trPr>
          <w:trHeight w:val="217"/>
        </w:trPr>
        <w:tc>
          <w:tcPr>
            <w:tcW w:w="8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these or other current or future clinical trials of BXCL501, BXCL701 or our other product candidates. However, we do expect that our research and development costs will increase as we plan for and begin clinical trials for our current and future product candidates. We may never succeed in achieving regulatory approval for BXCL501, BXCL701 or any of our other product candidates. The duration, costs and timing of clinical trials and development of our product candidates will depend on a variety of factors, including the uncertainties of future clinical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and legal services, the cost of various consultants, occupancy costs and information systems costs.</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expect that our general and administrative expenses will increase as we operate both as an independent entity and as a public company. We also expect increased administrative costs, including payroll and related expenses, as we continue to increase our headcount to support the expected growth in our business, expand our operations and organizational capabilities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expect to incur increased costs to comply with corporate governance, internal controls, investor relations and disclosures and similar requirements applicable to public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0"/>
              </w:rPr>
              <w:t>(amounts in thousands, except percentage)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10"/>
          </w:tcPr>
          <w:p>
            <w:pPr>
              <w:jc w:val="right"/>
              <w:ind w:right="680"/>
              <w:spacing w:after="0" w:line="142" w:lineRule="exact"/>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2"/>
                <w:szCs w:val="12"/>
                <w:color w:val="auto"/>
              </w:rPr>
            </w:pPr>
          </w:p>
        </w:tc>
        <w:tc>
          <w:tcPr>
            <w:tcW w:w="2460" w:type="dxa"/>
            <w:vAlign w:val="bottom"/>
            <w:gridSpan w:val="8"/>
          </w:tcPr>
          <w:p>
            <w:pPr>
              <w:jc w:val="right"/>
              <w:ind w:right="80"/>
              <w:spacing w:after="0" w:line="142" w:lineRule="exact"/>
              <w:rPr>
                <w:sz w:val="20"/>
                <w:szCs w:val="20"/>
                <w:color w:val="auto"/>
              </w:rPr>
            </w:pPr>
            <w:r>
              <w:rPr>
                <w:rFonts w:ascii="Arial" w:cs="Arial" w:eastAsia="Arial" w:hAnsi="Arial"/>
                <w:sz w:val="14"/>
                <w:szCs w:val="14"/>
                <w:b w:val="1"/>
                <w:bCs w:val="1"/>
                <w:color w:val="auto"/>
              </w:rPr>
              <w:t>Nine months ended September 30,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Change</w:t>
            </w: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88"/>
              </w:rPr>
              <w:t>Research and development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517 %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576 %</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jc w:val="center"/>
              <w:ind w:right="52"/>
              <w:spacing w:after="0"/>
              <w:rPr>
                <w:sz w:val="20"/>
                <w:szCs w:val="20"/>
                <w:color w:val="auto"/>
              </w:rPr>
            </w:pPr>
            <w:r>
              <w:rPr>
                <w:rFonts w:ascii="Arial" w:cs="Arial" w:eastAsia="Arial" w:hAnsi="Arial"/>
                <w:sz w:val="18"/>
                <w:szCs w:val="18"/>
                <w:color w:val="auto"/>
                <w:w w:val="91"/>
              </w:rPr>
              <w:t>General and administrative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w w:val="93"/>
              </w:rPr>
              <w:t>336 %</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3"/>
              </w:rPr>
              <w:t>450 %</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Total operating expenses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458 %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10,638</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529 %</w:t>
            </w:r>
          </w:p>
        </w:tc>
        <w:tc>
          <w:tcPr>
            <w:tcW w:w="0" w:type="dxa"/>
            <w:vAlign w:val="bottom"/>
          </w:tcPr>
          <w:p>
            <w:pPr>
              <w:spacing w:after="0"/>
              <w:rPr>
                <w:sz w:val="1"/>
                <w:szCs w:val="1"/>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(5,119)</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(917)</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(4,202)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458 %</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(12,649)</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(10,638)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529 %</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320"/>
              <w:spacing w:after="0"/>
              <w:rPr>
                <w:sz w:val="20"/>
                <w:szCs w:val="20"/>
                <w:color w:val="auto"/>
              </w:rPr>
            </w:pPr>
            <w:r>
              <w:rPr>
                <w:rFonts w:ascii="Arial" w:cs="Arial" w:eastAsia="Arial" w:hAnsi="Arial"/>
                <w:sz w:val="18"/>
                <w:szCs w:val="18"/>
                <w:color w:val="auto"/>
              </w:rPr>
              <w:t>Interest income,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454</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433 %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506 %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60" w:firstLine="324"/>
        <w:spacing w:after="0" w:line="381" w:lineRule="auto"/>
        <w:rPr>
          <w:sz w:val="20"/>
          <w:szCs w:val="20"/>
          <w:color w:val="auto"/>
        </w:rPr>
      </w:pPr>
      <w:r>
        <w:rPr>
          <w:rFonts w:ascii="Arial" w:cs="Arial" w:eastAsia="Arial" w:hAnsi="Arial"/>
          <w:sz w:val="15"/>
          <w:szCs w:val="15"/>
          <w:color w:val="auto"/>
        </w:rPr>
        <w:t>Research and development expenses for the three months ended September 30, 2018 were $3,821, compared to $619 for the three months ended September 30, 2017. The increase of $3,202 is attributable to the costs described in the table below: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Clinical trials expense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Chemical, manufacturing and controls cost ("CMC")</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7"/>
        </w:trPr>
        <w:tc>
          <w:tcPr>
            <w:tcW w:w="6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and related costs increased due to higher bonus accruals, increases in headcount, payroll taxes, recruiting fees and travel related costs.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Non-cash stock-based compensation has increased as a result of options granted to a significantly increased headcount in the six months following our IPO.</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Professional research, project related costs, clinical trials expenses and CMC costs increased due to the acceleration of research and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General and administrative expenses for the three months ended September 30, 2018 were $1,298, compared to $298 for the three months ended September 30, 2017. The increase of $1,000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644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and related costs increased due to higher bonus accruals, increases in headcount, payroll taxes, recruiting fees and travel related costs.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Non-cash stock-based compensation has increased as a result of options granted to a significantly increased headcount in the six months following our IPO.</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the current period.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Research and development expenses for the nine months ended September 30, 2018 were $8,540, compared to $1,264 for the nine months ended September 30, 2017. The increase of $7,276 is attributable to the costs described in the table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Drug acquisition costs</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Chemical, manufacturing and controls cost ("CMC")</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7"/>
        </w:trPr>
        <w:tc>
          <w:tcPr>
            <w:tcW w:w="644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and related costs increased due to higher bonus accruals, increases in headcount, payroll taxes, recruiting fees and travel related costs.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Non-cash stock-based compensation has increased as a result of options granted to a significantly increased headcount in the six months following our IPO.</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Professional research, project related costs, clinical trials expenses and CMC costs increased due to the acceleration of research and development activities.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Drug acquisition expenses included a payment to Bioxcel of $1,000 pursuant to an asset contribution agreement for the BTI business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General and administrative expenses for the nine months ended September 30, 2018 were $4,109, compared to $747 for the nine months ended September 30, 2017. The increase of $2,362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Insurance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644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and related costs increased due to higher bonus accruals, increases in headcount, payroll taxes, recruiting fees and travel related costs.</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Non-cash stock-based compensation has increased as a result of options granted to a significantly increased headcount in the six months following our IPO.</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audit, investor relations, licensing and information technology costs were incurred during the current period.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reported losses of approximately $12,195 and $2,011 for the nine months ended September 30, 2018 and 2017, respectively. At September 30, 2018, the Company had shareholders’ equity of $45,823, working capital of $45,595 and cash of $47,122.</w:t>
      </w:r>
    </w:p>
    <w:p>
      <w:pPr>
        <w:spacing w:after="0" w:line="181" w:lineRule="exact"/>
        <w:rPr>
          <w:sz w:val="20"/>
          <w:szCs w:val="20"/>
          <w:color w:val="auto"/>
        </w:rPr>
      </w:pPr>
    </w:p>
    <w:p>
      <w:pPr>
        <w:jc w:val="both"/>
        <w:ind w:right="380" w:firstLine="324"/>
        <w:spacing w:after="0" w:line="286" w:lineRule="auto"/>
        <w:rPr>
          <w:sz w:val="20"/>
          <w:szCs w:val="20"/>
          <w:color w:val="auto"/>
        </w:rPr>
      </w:pPr>
      <w:r>
        <w:rPr>
          <w:rFonts w:ascii="Arial" w:cs="Arial" w:eastAsia="Arial" w:hAnsi="Arial"/>
          <w:sz w:val="17"/>
          <w:szCs w:val="17"/>
          <w:color w:val="auto"/>
        </w:rPr>
        <w:t>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 We may never achieve profitability.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focused our efforts on raising capital and building the products in our pipeline. Since our inception, and through our recently completed IPO, all our operations have been financed by our Parent, BioXcel, or the sales of our common stock in a series of private placements and a public offering. We have not yet established an ongoing source of revenue sufficient to cover our operating costs and will need to do so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341"/>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20" w:type="dxa"/>
            <w:vAlign w:val="bottom"/>
            <w:gridSpan w:val="5"/>
          </w:tcPr>
          <w:p>
            <w:pPr>
              <w:jc w:val="center"/>
              <w:ind w:right="114"/>
              <w:spacing w:after="0" w:line="119"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1"/>
        </w:trPr>
        <w:tc>
          <w:tcPr>
            <w:tcW w:w="6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34"/>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(9,168)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the nine months ended September 30, 2018, net cash used in operating activities was approximately $9,168 which consisted of a net loss of $12,195 partially offset by $2,949 in stock-based compensation and $9 of depreciation. Reductions in accounts payable and accrued expenses of $584 were offset in part by increases in prepaid expenses primarily for insurance premiums and other assets of $515 accounted for the remainder.</w:t>
      </w:r>
    </w:p>
    <w:p>
      <w:pPr>
        <w:spacing w:after="0" w:line="187"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For the nine months ended September 30, 2017, net cash used in operating activities was approximately $1,098, which consisted of a net loss of $2,011 partially offset by $516 in stock-based compensation. Increases in accounts payable, reductions in prepaid expense and depreciation accounted for the remainder.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We purchased servers, computers and related equipment for technical research and for additional headcount during the nine months ended September 30, 2018. In addition, the Company incurred design charges for future space occupancy.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net cash provided by financing activities was approximately $55,585 for the nine months ended September 30, 2018 which was mainly attributable to the proceeds from issuance of common stock in our IPO offset in part by repayment of loans to our Parent.</w:t>
      </w:r>
    </w:p>
    <w:p>
      <w:pPr>
        <w:spacing w:after="0" w:line="18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2017 was approximately $1,852, which was attributable to investments and loans made by BioXcel.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commence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3"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4"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clinical development of BXCL501 and commence clinical development of BXCL701;</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660" w:right="16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800" w:hanging="333"/>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expect that we will need to obtain substantial additional funding in order to complete our clinical trials. To the extent that we raise additional capital through the sale of common stock, convertible securities or other equity securities, 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did not have during the periods presented, nor do we currently have, any off-balance sheet arrangements as defined under SEC rules.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management to exercise its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88"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18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66" w:lineRule="exact"/>
        <w:rPr>
          <w:sz w:val="20"/>
          <w:szCs w:val="20"/>
          <w:color w:val="auto"/>
        </w:rPr>
      </w:pPr>
    </w:p>
    <w:p>
      <w:pPr>
        <w:jc w:val="both"/>
        <w:ind w:right="400" w:firstLine="324"/>
        <w:spacing w:after="0" w:line="264" w:lineRule="auto"/>
        <w:rPr>
          <w:sz w:val="20"/>
          <w:szCs w:val="20"/>
          <w:color w:val="auto"/>
        </w:rPr>
      </w:pPr>
      <w:r>
        <w:rPr>
          <w:rFonts w:ascii="Arial" w:cs="Arial" w:eastAsia="Arial" w:hAnsi="Arial"/>
          <w:sz w:val="18"/>
          <w:szCs w:val="18"/>
          <w:color w:val="auto"/>
        </w:rPr>
        <w:t>Our significant accounting policies are described in the notes to the financial statements included in the registration statement on Form S-1. As of September 30, 2018, there have been no material changes to any of the critical accounting policies contained therein.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4, “Summary of Significant Accounting Policies,” in the accompanying Notes to Financial Statements included in Item 1of Part 1 of this Quarterly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Our balance sheet as of September 30, 2018 includes cash and cash equivalents of $47.1 million. We do not participate in any foreign currency hedging activities and we do not have any other derivative financial instruments. We did not recognize any significant exchange rate losses during the nine months ended September 30, 2018 and 2017, respectively.</w:t>
      </w:r>
    </w:p>
    <w:p>
      <w:pPr>
        <w:spacing w:after="0" w:line="14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do not believe that our cash has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18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April 5, 2012, the Jumpstart Our Business Startups Act of 2012, or the JOBS Act, was enacted. Section 107 of the JOBS Act provides that an “emerging growth company” can take advantage of the extended transition period provided in Section 7(a)(2)(B) of the Securities Act of 1933, as amended, or the Securities Act, for complying with new or revised accounting standards. In other words, an “emerging growth company” can delay the adoption of certain accounting standards until those standards would otherwise apply to private companies.</w:t>
      </w:r>
    </w:p>
    <w:p>
      <w:pPr>
        <w:spacing w:after="0" w:line="188"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We have chosen to opt out of the extended transition periods available to emerging growth companies under the JOBS Act for complying with new or revised accounting standards. Section 107 of the JOBS Act provides that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decision to opt out of the extended transition periods for complying with new or revised accounting standards is irrevocable.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market risk inherent in our financial instruments and in our financial position has historically been the potential loss arising from adverse changes in interest rates. As of September 30, 2018 and December 31, 2017, we had cash of $47.1 million and $0.9 million, respectively. As of September 30, 2018, we held our cash in primarily in money market accounts and accordingly, the value of these accounts is subject to fluctuation in interest rates.</w:t>
      </w:r>
    </w:p>
    <w:p>
      <w:pPr>
        <w:spacing w:after="0" w:line="171"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2018.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ind w:right="60" w:firstLine="360"/>
        <w:spacing w:after="0" w:line="287" w:lineRule="auto"/>
        <w:rPr>
          <w:sz w:val="20"/>
          <w:szCs w:val="20"/>
          <w:color w:val="auto"/>
        </w:rPr>
      </w:pPr>
      <w:r>
        <w:rPr>
          <w:rFonts w:ascii="Arial" w:cs="Arial" w:eastAsia="Arial" w:hAnsi="Arial"/>
          <w:sz w:val="16"/>
          <w:szCs w:val="16"/>
          <w:color w:val="auto"/>
        </w:rPr>
        <w:t>In connection with the audit of our financial statements for the years ended December 31, 2017 and 2016, our management concluded that we had a material weakness in our internal controls because we lacked adequately designed internal controls over the financial reporting and SEC filing process. The lack of an adequately designed internal control process made it difficult for management to ensure the timely preparation and review of the accounting for certain transactions, especially those that are technically complex, non-routine transactions or transactions subject to management estimates and judgement.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during the quarter ended March 31, 2018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w:t>
      </w:r>
    </w:p>
    <w:p>
      <w:pPr>
        <w:spacing w:after="0" w:line="173"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Based on the evaluation of our disclosure controls and procedures as of September 30, 2018, our Chief Executive Officer and Chief Financial Officer concluded that, as of such date, our disclosure controls and procedures are effective.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firstLine="363"/>
        <w:spacing w:after="0" w:line="286"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three months ended September 30, 2018 that has materially affected, or is reasonably likely to materially affect, our internal control over financial reporting other than that describes above.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We were incorporated in March 2017 and our operations to date have been largely focused on organizing and staffing our company, raising capital and acquiring the rights to, and advancing the development of, our product candidates, including conducting preclinical studies. We have not yet demonstrated an ability to successfully complete clinical trials,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7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7"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$12.2 million, and $2.0 million for the nine months ended September 30, 2018 and 2017, respectively. As of September 30, 2018, we had Stockholders’ equity of $45.8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spacing w:after="0" w:line="170" w:lineRule="exact"/>
        <w:rPr>
          <w:rFonts w:ascii="Arial" w:cs="Arial" w:eastAsia="Arial" w:hAnsi="Arial"/>
          <w:sz w:val="18"/>
          <w:szCs w:val="18"/>
          <w:color w:val="auto"/>
        </w:rPr>
      </w:pPr>
    </w:p>
    <w:p>
      <w:pPr>
        <w:ind w:left="660" w:right="44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pursue regulatory approvals for our current and future product candidates that successfully complete clinical trials;</w:t>
      </w:r>
    </w:p>
    <w:p>
      <w:pPr>
        <w:spacing w:after="0" w:line="248" w:lineRule="exact"/>
        <w:rPr>
          <w:rFonts w:ascii="Arial" w:cs="Arial" w:eastAsia="Arial" w:hAnsi="Arial"/>
          <w:sz w:val="16"/>
          <w:szCs w:val="16"/>
          <w:color w:val="auto"/>
        </w:rPr>
      </w:pPr>
    </w:p>
    <w:p>
      <w:pPr>
        <w:ind w:left="660" w:right="28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7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w:t>
      </w:r>
    </w:p>
    <w:p>
      <w:pPr>
        <w:spacing w:after="0" w:line="24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8" w:lineRule="exact"/>
        <w:rPr>
          <w:sz w:val="20"/>
          <w:szCs w:val="20"/>
          <w:color w:val="auto"/>
        </w:rPr>
      </w:pPr>
    </w:p>
    <w:p>
      <w:pPr>
        <w:jc w:val="both"/>
        <w:ind w:right="120" w:firstLine="324"/>
        <w:spacing w:after="0" w:line="302" w:lineRule="auto"/>
        <w:rPr>
          <w:sz w:val="20"/>
          <w:szCs w:val="20"/>
          <w:color w:val="auto"/>
        </w:rPr>
      </w:pPr>
      <w:r>
        <w:rPr>
          <w:rFonts w:ascii="Arial" w:cs="Arial" w:eastAsia="Arial" w:hAnsi="Arial"/>
          <w:sz w:val="16"/>
          <w:szCs w:val="16"/>
          <w:color w:val="auto"/>
        </w:rPr>
        <w:t>Our current cash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39"/>
        <w:spacing w:after="0" w:line="272" w:lineRule="auto"/>
        <w:rPr>
          <w:sz w:val="20"/>
          <w:szCs w:val="20"/>
          <w:color w:val="auto"/>
        </w:rPr>
      </w:pPr>
      <w:r>
        <w:rPr>
          <w:rFonts w:ascii="Arial" w:cs="Arial" w:eastAsia="Arial" w:hAnsi="Arial"/>
          <w:sz w:val="17"/>
          <w:szCs w:val="17"/>
          <w:color w:val="auto"/>
        </w:rPr>
        <w:t>not be able to enter into a collaboration for any of our product candidates for such indications on suitable terms, on a timely basis or at all. In any event, the net proceeds of our IPO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w:t>
      </w:r>
    </w:p>
    <w:p>
      <w:pPr>
        <w:spacing w:after="0" w:line="178" w:lineRule="exact"/>
        <w:rPr>
          <w:sz w:val="20"/>
          <w:szCs w:val="20"/>
          <w:color w:val="auto"/>
        </w:rPr>
      </w:pPr>
    </w:p>
    <w:p>
      <w:pPr>
        <w:ind w:right="19" w:firstLine="324"/>
        <w:spacing w:after="0" w:line="291" w:lineRule="auto"/>
        <w:rPr>
          <w:sz w:val="20"/>
          <w:szCs w:val="20"/>
          <w:color w:val="auto"/>
        </w:rPr>
      </w:pPr>
      <w:r>
        <w:rPr>
          <w:rFonts w:ascii="Arial" w:cs="Arial" w:eastAsia="Arial" w:hAnsi="Arial"/>
          <w:sz w:val="16"/>
          <w:szCs w:val="16"/>
          <w:color w:val="auto"/>
        </w:rPr>
        <w:t>We believe that our existing cash as of September 30, 2018, and a review of projected project timing, will enable us to fund our operating expenses and capital expenditure requirements for at least eighteen months from the date of this Quarterly Report on Form 10-Q. 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67" w:lineRule="exact"/>
        <w:rPr>
          <w:sz w:val="20"/>
          <w:szCs w:val="20"/>
          <w:color w:val="auto"/>
        </w:rPr>
      </w:pPr>
    </w:p>
    <w:p>
      <w:pPr>
        <w:ind w:left="660" w:right="57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agreements or other arrangements;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25" w:lineRule="exact"/>
        <w:rPr>
          <w:rFonts w:ascii="Arial" w:cs="Arial" w:eastAsia="Arial" w:hAnsi="Arial"/>
          <w:sz w:val="18"/>
          <w:szCs w:val="18"/>
          <w:color w:val="auto"/>
        </w:rPr>
      </w:pPr>
    </w:p>
    <w:p>
      <w:pPr>
        <w:ind w:left="660" w:right="19"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81" w:lineRule="exact"/>
        <w:rPr>
          <w:rFonts w:ascii="Arial" w:cs="Arial" w:eastAsia="Arial" w:hAnsi="Arial"/>
          <w:sz w:val="18"/>
          <w:szCs w:val="18"/>
          <w:color w:val="auto"/>
        </w:rPr>
      </w:pPr>
    </w:p>
    <w:p>
      <w:pPr>
        <w:ind w:left="660" w:right="53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225" w:lineRule="exact"/>
        <w:rPr>
          <w:rFonts w:ascii="Arial" w:cs="Arial" w:eastAsia="Arial" w:hAnsi="Arial"/>
          <w:sz w:val="18"/>
          <w:szCs w:val="18"/>
          <w:color w:val="auto"/>
        </w:rPr>
      </w:pPr>
    </w:p>
    <w:p>
      <w:pPr>
        <w:ind w:left="660" w:right="599"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drug discovery and drug development, and we have never had a drug approved.</w:t>
      </w:r>
    </w:p>
    <w:p>
      <w:pPr>
        <w:spacing w:after="0" w:line="23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initiate or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300" w:right="80" w:hanging="325"/>
        <w:spacing w:after="0" w:line="25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an Investigational New Drug, or IND, for the conduct of clinical trials of product candidates and proposed design of future clinical trials;</w:t>
      </w:r>
    </w:p>
    <w:p>
      <w:pPr>
        <w:spacing w:after="0" w:line="1" w:lineRule="exact"/>
        <w:rPr>
          <w:rFonts w:ascii="Arial" w:cs="Arial" w:eastAsia="Arial" w:hAnsi="Arial"/>
          <w:sz w:val="18"/>
          <w:szCs w:val="18"/>
          <w:color w:val="auto"/>
        </w:rPr>
      </w:pPr>
    </w:p>
    <w:p>
      <w:pPr>
        <w:ind w:left="1300" w:right="52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300" w:right="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 safety, tolerability and efficacy profile that is satisfactory to the FDA or any comparable foreign regulatory authority for marketing approval;</w:t>
      </w: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establishment of supply arrangements with third-party raw materials suppliers and manufacturers;</w:t>
      </w:r>
    </w:p>
    <w:p>
      <w:pPr>
        <w:spacing w:after="0" w:line="20" w:lineRule="exact"/>
        <w:rPr>
          <w:rFonts w:ascii="Arial" w:cs="Arial" w:eastAsia="Arial" w:hAnsi="Arial"/>
          <w:sz w:val="17"/>
          <w:szCs w:val="17"/>
          <w:color w:val="auto"/>
        </w:rPr>
      </w:pPr>
    </w:p>
    <w:p>
      <w:pPr>
        <w:ind w:left="1300" w:right="54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300" w:right="70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ind w:left="1300" w:right="360" w:hanging="325"/>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300" w:right="200" w:hanging="325"/>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300" w:right="740" w:hanging="325"/>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Arial" w:cs="Arial" w:eastAsia="Arial" w:hAnsi="Arial"/>
          <w:sz w:val="16"/>
          <w:szCs w:val="16"/>
          <w:color w:val="auto"/>
        </w:rPr>
      </w:pPr>
    </w:p>
    <w:p>
      <w:pPr>
        <w:ind w:left="1300" w:right="60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300" w:right="30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300" w:right="2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2" w:lineRule="exact"/>
        <w:rPr>
          <w:rFonts w:ascii="Arial" w:cs="Arial" w:eastAsia="Arial" w:hAnsi="Arial"/>
          <w:sz w:val="18"/>
          <w:szCs w:val="18"/>
          <w:color w:val="auto"/>
        </w:rPr>
      </w:pPr>
    </w:p>
    <w:p>
      <w:pPr>
        <w:ind w:left="1300" w:right="160" w:hanging="325"/>
        <w:spacing w:after="0" w:line="28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 w:lineRule="exact"/>
        <w:rPr>
          <w:rFonts w:ascii="Arial" w:cs="Arial" w:eastAsia="Arial" w:hAnsi="Arial"/>
          <w:sz w:val="16"/>
          <w:szCs w:val="16"/>
          <w:color w:val="auto"/>
        </w:rPr>
      </w:pPr>
    </w:p>
    <w:p>
      <w:pPr>
        <w:ind w:left="1300" w:right="760" w:hanging="325"/>
        <w:spacing w:after="0" w:line="290"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not previously completed a clinical trial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not previously submitted an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1"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 inability to meet planned patient enrollment may result in increased costs and delay or termination of our trials, which could have a harmful effect on our ability to develop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clinical testing could result in increased costs to us and delay our ability to generate revenue.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54" w:lineRule="exact"/>
        <w:rPr>
          <w:sz w:val="20"/>
          <w:szCs w:val="20"/>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3" w:lineRule="exact"/>
        <w:rPr>
          <w:rFonts w:ascii="Arial" w:cs="Arial" w:eastAsia="Arial" w:hAnsi="Arial"/>
          <w:sz w:val="18"/>
          <w:szCs w:val="18"/>
          <w:color w:val="auto"/>
        </w:rPr>
      </w:pPr>
    </w:p>
    <w:p>
      <w:pPr>
        <w:jc w:val="both"/>
        <w:ind w:left="1300" w:right="280" w:hanging="325"/>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1300" w:right="200" w:hanging="325"/>
        <w:spacing w:after="0" w:line="258"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 w:lineRule="exact"/>
        <w:rPr>
          <w:rFonts w:ascii="Arial" w:cs="Arial" w:eastAsia="Arial" w:hAnsi="Arial"/>
          <w:sz w:val="18"/>
          <w:szCs w:val="18"/>
          <w:color w:val="auto"/>
        </w:rPr>
      </w:pPr>
    </w:p>
    <w:p>
      <w:pPr>
        <w:jc w:val="both"/>
        <w:ind w:left="1300" w:right="100" w:hanging="325"/>
        <w:spacing w:after="0" w:line="281"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drug development programs;</w:t>
      </w:r>
    </w:p>
    <w:p>
      <w:pPr>
        <w:spacing w:after="0" w:line="1" w:lineRule="exact"/>
        <w:rPr>
          <w:rFonts w:ascii="Arial" w:cs="Arial" w:eastAsia="Arial" w:hAnsi="Arial"/>
          <w:sz w:val="16"/>
          <w:szCs w:val="16"/>
          <w:color w:val="auto"/>
        </w:rPr>
      </w:pPr>
    </w:p>
    <w:p>
      <w:pPr>
        <w:ind w:left="1300" w:right="6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1300" w:right="48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9" w:lineRule="exact"/>
        <w:rPr>
          <w:rFonts w:ascii="Arial" w:cs="Arial" w:eastAsia="Arial" w:hAnsi="Arial"/>
          <w:sz w:val="18"/>
          <w:szCs w:val="18"/>
          <w:color w:val="auto"/>
        </w:rPr>
      </w:pPr>
    </w:p>
    <w:p>
      <w:pPr>
        <w:ind w:left="1300" w:right="6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ind w:left="1300" w:hanging="325"/>
        <w:spacing w:after="0" w:line="250"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left="1300" w:right="380" w:hanging="325"/>
        <w:spacing w:after="0" w:line="323"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future collaborators that conduct clinical trials may face any of the above issues, and may conduct clinical trials in ways they view as advantageous to themselves but that are suboptimal for us.</w:t>
      </w:r>
    </w:p>
    <w:p>
      <w:pPr>
        <w:spacing w:after="0" w:line="139" w:lineRule="exact"/>
        <w:rPr>
          <w:sz w:val="20"/>
          <w:szCs w:val="20"/>
          <w:color w:val="auto"/>
        </w:rPr>
      </w:pPr>
    </w:p>
    <w:p>
      <w:pPr>
        <w:ind w:right="220" w:firstLine="324"/>
        <w:spacing w:after="0" w:line="302" w:lineRule="auto"/>
        <w:rPr>
          <w:sz w:val="20"/>
          <w:szCs w:val="20"/>
          <w:color w:val="auto"/>
        </w:rPr>
      </w:pPr>
      <w:r>
        <w:rPr>
          <w:rFonts w:ascii="Arial" w:cs="Arial" w:eastAsia="Arial" w:hAnsi="Arial"/>
          <w:sz w:val="16"/>
          <w:szCs w:val="16"/>
          <w:color w:val="auto"/>
        </w:rPr>
        <w:t>For example, we believe that we will be able to proceed directly to Phase 3 registration trials of BXCL501 if we successfully complete our planned Phase 1b/2 open-label PoC and bridging BA/BE studies. However, the FDA may not agree with our development plans and could require us to perform additional clinical trials or preclinical studies, including additional Phase 1 and/or Phase 2 clinical trials, before permitting us to conduct our planned registration trials.</w:t>
      </w:r>
    </w:p>
    <w:p>
      <w:pPr>
        <w:spacing w:after="0" w:line="154"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47"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 w:lineRule="exact"/>
        <w:rPr>
          <w:rFonts w:ascii="Arial" w:cs="Arial" w:eastAsia="Arial" w:hAnsi="Arial"/>
          <w:sz w:val="18"/>
          <w:szCs w:val="18"/>
          <w:color w:val="auto"/>
        </w:rPr>
      </w:pPr>
    </w:p>
    <w:p>
      <w:pPr>
        <w:ind w:left="1300" w:right="8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9"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ind w:left="1300" w:right="22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w:t>
      </w: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Furthermore, we intend to rely on CROs and clinical trial sites to ensure the proper and timely conduct of our clinical trials and we intend to have agreements governing their committed activities. They may not perform as required.</w:t>
      </w:r>
    </w:p>
    <w:p>
      <w:pPr>
        <w:spacing w:after="0" w:line="124"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1" w:lineRule="exact"/>
        <w:rPr>
          <w:sz w:val="20"/>
          <w:szCs w:val="20"/>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20" w:lineRule="exact"/>
        <w:rPr>
          <w:rFonts w:ascii="Arial" w:cs="Arial" w:eastAsia="Arial" w:hAnsi="Arial"/>
          <w:sz w:val="17"/>
          <w:szCs w:val="17"/>
          <w:color w:val="auto"/>
        </w:rPr>
      </w:pPr>
    </w:p>
    <w:p>
      <w:pPr>
        <w:ind w:left="1300" w:right="38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ind w:left="1300" w:right="48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300" w:right="660" w:hanging="325"/>
        <w:spacing w:after="0" w:line="265"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47" w:lineRule="exact"/>
        <w:rPr>
          <w:sz w:val="20"/>
          <w:szCs w:val="20"/>
          <w:color w:val="auto"/>
        </w:rPr>
      </w:pPr>
    </w:p>
    <w:p>
      <w:pPr>
        <w:ind w:left="1300" w:right="160" w:hanging="325"/>
        <w:spacing w:after="0" w:line="285"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6"/>
          <w:szCs w:val="16"/>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580" w:hanging="325"/>
        <w:spacing w:after="0" w:line="256"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ind w:left="1300" w:right="40" w:hanging="325"/>
        <w:spacing w:after="0" w:line="250"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99"/>
        <w:spacing w:after="0" w:line="342" w:lineRule="auto"/>
        <w:rPr>
          <w:sz w:val="20"/>
          <w:szCs w:val="20"/>
          <w:color w:val="auto"/>
        </w:rPr>
      </w:pPr>
      <w:r>
        <w:rPr>
          <w:rFonts w:ascii="Arial" w:cs="Arial" w:eastAsia="Arial" w:hAnsi="Arial"/>
          <w:sz w:val="16"/>
          <w:szCs w:val="16"/>
          <w:color w:val="auto"/>
        </w:rPr>
        <w:t>or curtailed. If we cannot successfully manage the promotion of our product candidates, if approved, we could become subject to significant liability, which would materially adversely affect our business and financial condition.</w:t>
      </w:r>
    </w:p>
    <w:p>
      <w:pPr>
        <w:spacing w:after="0" w:line="124" w:lineRule="exact"/>
        <w:rPr>
          <w:sz w:val="20"/>
          <w:szCs w:val="20"/>
          <w:color w:val="auto"/>
        </w:rPr>
      </w:pPr>
    </w:p>
    <w:p>
      <w:pPr>
        <w:ind w:right="319"/>
        <w:spacing w:after="0" w:line="264"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81" w:lineRule="exact"/>
        <w:rPr>
          <w:sz w:val="20"/>
          <w:szCs w:val="20"/>
          <w:color w:val="auto"/>
        </w:rPr>
      </w:pPr>
    </w:p>
    <w:p>
      <w:pPr>
        <w:ind w:right="39" w:firstLine="324"/>
        <w:spacing w:after="0" w:line="290" w:lineRule="auto"/>
        <w:rPr>
          <w:sz w:val="20"/>
          <w:szCs w:val="20"/>
          <w:color w:val="auto"/>
        </w:rPr>
      </w:pPr>
      <w:r>
        <w:rPr>
          <w:rFonts w:ascii="Arial" w:cs="Arial" w:eastAsia="Arial" w:hAnsi="Arial"/>
          <w:sz w:val="16"/>
          <w:szCs w:val="16"/>
          <w:color w:val="auto"/>
        </w:rPr>
        <w:t>If a product is intended for the treatment of a serious condition and nonclinical or clinical data demonstrate the potential to address unmet medical need for this condition, a product sponsor may apply for FDA Fast Track designation. If we seek Fast Track designation for a product candidate, we may not receive it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ind w:right="99"/>
        <w:spacing w:after="0" w:line="312"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7" w:lineRule="exact"/>
        <w:rPr>
          <w:sz w:val="20"/>
          <w:szCs w:val="20"/>
          <w:color w:val="auto"/>
        </w:rPr>
      </w:pPr>
    </w:p>
    <w:p>
      <w:pPr>
        <w:ind w:right="19" w:firstLine="324"/>
        <w:spacing w:after="0" w:line="285"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our product candidates will remain subject to ongoing requirements governing the manufacturing process, labeling, packaging, storage, advertising, distribution, import, export, promotion, recordkeeping and adverse event reporting. These requirements include submissions of safety and other post-marketing information and reports, registration, as well as continued compliance with good clinical practice, or GCP, requirements for any clinical trials that we conduct post-approval. In addition, manufacturers of drug products and their facilities are subject to continual review and periodic inspections by the FDA and other regulatory authorities for compliance with Good Manufacturing Practices, or GMP, regulations. If we or a regulatory agency discovers previously unknown problems with a product, such as adverse events of unanticipated severity or frequency, or problems with the facility where the product is manufactured, a regulatory agency may impose restrictions on that product or the manufacturer, including requiring voluntary or mandatory recalls, additional restrictions on manufacturing or withdrawal of the product from the market or suspension of manufacturing. If we, our product candidates or the manufacturing facilities for our product candidates fail to comply with applicable regulatory requirements, a regulatory agency may:</w:t>
      </w:r>
    </w:p>
    <w:p>
      <w:pPr>
        <w:spacing w:after="0" w:line="391"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request us to initiate a product recall;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pursue and obtain an injunction.</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by us to comply with existing regulations could harm our reputation and operating results.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will be subject to extensive regulation by U.S. federal and state and foreign governments in each of the markets where we intend to sell BXCL501 and BXCL701 if and after they are approved. For example, we will have to adhere to all regulatory requirements including the FDA’s current GCPs, Good Laboratory Practice, or GLP, and GMP requirements. If we fail to comply with applicable regulations, including FDA pre-or post- approval cGMP requirements, then the FDA or other foreign regulatory authorities could sanction us. Even if a drug is FDA-approved, regulatory authorities may impose significant restrictions on a product’s indicated uses or marketing or impose ongoing requirements for potentially costly post-marketing studies.</w:t>
      </w:r>
    </w:p>
    <w:p>
      <w:pPr>
        <w:spacing w:after="0" w:line="18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Any action against us for violation of these laws, even if we successfully defend against it, could cause us to incur significant legal expenses, divert our management’s attention from the operation of our business and damage our reputation. We expend significant resources on compliance efforts and such expenses are unpredictable and might adversely affect our results.</w:t>
      </w:r>
    </w:p>
    <w:p>
      <w:pPr>
        <w:spacing w:after="0" w:line="18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President Trump issued an Executive Order directing all executive agencies, including the FDA,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OMB on February 2,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 States regulatory and approval in one jurisdiction does not ensure approvals in any other jurisdiction; however, negative regulatory decisions in any jurisdiction may have a negative impact on the regulatory process in other jurisdictions.</w:t>
      </w:r>
    </w:p>
    <w:p>
      <w:pPr>
        <w:spacing w:after="0" w:line="173"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1"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 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Under the Health Insurance Portability and Accountability Act of 1996, we are prohibited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Violations of fraud and abuse laws may be punishable by criminal and/or civil sanctions, including fines and/or exclusion or suspension from federal and state health care programs such as Medicare and Medicaid and debarment from contracting with the U.S. government. In addition, private individuals have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ability to bring actions on behalf of the government under the federal False Claims Act as well as under the false claims laws of several states.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Many states have adopted laws similar to the federal anti-kickback statute, some of which apply to the referral of patients for health care services reimbursed by any source, not just governmental payers. Neither the government nor the courts have provided definitive guidance on the application of fraud and abuse laws to our business. Law enforcement authorities are increasingly focused on enforcing these laws, and if we are found in violation of one of these laws, we could be required to pay a penalty and could be suspended or excluded from participation in federal or state health care programs, and our business, results of operations and financial condition may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Our inability to obtain and retain sufficient clinical trial liability insurance at an acceptable cost to protect against potential liability claims could prevent or inhibit our ability to conduct clinical trials for product candidates we develop. We currently have clinical trial liability insurance for our IV Dex trials. However, we do not have clinical trial liability insurance for our BXCL 701 program.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1"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178"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expect to rely heavily on orphan drug status to commercialize some of our product candidates, if approved, but any orphan drug designations we receive may not confer marketing exclusivity or other expected commercial benefits.</w:t>
      </w:r>
    </w:p>
    <w:p>
      <w:pPr>
        <w:spacing w:after="0" w:line="101"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We expect to rely heavily on orphan drug exclusivity for our product candidates.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Although we have received orphan designation for BXCL701 for the treatment of pancreatic cancer, BXCL701 has not been granted orphan designation as of September 30, 2018 for the treatment of tNEPC.</w:t>
      </w:r>
    </w:p>
    <w:p>
      <w:pPr>
        <w:spacing w:after="0" w:line="16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may seek a breakthrough therapy designation for BXCL701 or one or more of our other product candidates,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We may seek a breakthrough therapy designation for BXCL701 or one or more of our other product candidates. A breakthrough therapy is defined as a drug that is intended, alone or in combination with one or more other drugs, to treat a serious condition, and preliminary clinical evidence indicates that the drug may demonstrate substantial improvement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w:t>
      </w:r>
    </w:p>
    <w:p>
      <w:pPr>
        <w:spacing w:after="0" w:line="19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seek priority review designation for BXCL701 or one or more of our other product candidates, but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biopharmaceutical companies, academic institutions, government agencies and other private and public research institutions in the United States, the European Union and other jurisdictions.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18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7"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3" w:lineRule="exact"/>
        <w:rPr>
          <w:sz w:val="20"/>
          <w:szCs w:val="20"/>
          <w:color w:val="auto"/>
        </w:rPr>
      </w:pPr>
    </w:p>
    <w:p>
      <w:pPr>
        <w:ind w:left="1300" w:right="560" w:hanging="325"/>
        <w:spacing w:after="0" w:line="258"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300" w:right="700" w:hanging="325"/>
        <w:spacing w:after="0" w:line="250"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ind w:left="1300" w:hanging="325"/>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clinical indication(s) for which BXCL501, BXCL701 and our other product candidates are approved;</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300" w:right="940" w:hanging="325"/>
        <w:spacing w:after="0" w:line="261"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4"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 for which we obtain regulatory approval. In the United States and markets in other countries, sales of any products for which we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PPACA has substantially changed the way healthcare is financed by both government health plans and private insurers, and significantly impacts the pharmaceutical industry. The PPACA contains a number of provisions that are expected to impact our business and operations in ways that may negatively affect our potential revenues in the future. For example, the PPACA imposes a non-deductible excise tax on pharmaceutical manufacturers or importers that sell branded prescription drugs to government programs which we believe will increase the cost of our products. In addition, as part of the PPACA’s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PPACA increases the level of Medicaid rebates payable by manufacturers of brand-name drugs from 15.1% to 23.1% and requires collection of rebates for drugs paid by Medicaid managed care organizations. The PPACA also includes significant changes to the 340B drug discount program including expansion of the list of eligible covered entities that may purchase drugs under the program. At the same time, the expansion in eligibility for health insurance benefits created under PPACA is expected to increase the number of patients with insurance coverage who may receive our products. While it is too early to predict all the specific effects the PPACA or any future healthcare reform legislation will have on our business, they could have a material adverse effect on our business and financial condition.</w:t>
      </w:r>
    </w:p>
    <w:p>
      <w:pPr>
        <w:spacing w:after="0" w:line="18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Congress periodically adopts legislation like the PPACA and the Medicare Prescription Drug, Improvement and Modernization Act of 2003, that modifies Medicare reimbursement and coverage policies pertaining to prescription drugs. Implementation of these laws is subject to ongoing revision through regulatory and sub regulatory policies. Congress also may consider additional changes to Medicare policies, potentially including Medicare prescription drug policies, as part of ongoing budget negotiations. While the scope of any such legislation is uncertain at this time, there can be no assurances that future legislation or regulations will not decrease the coverage and price that we may receive for our proposed products. 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coverage legislation, by the possible effect of such current or future legislation on amounts that private insurers will pay and by other health care reforms that may be enacted or adopted in the future.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BioXcel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BioXcel controls the direction of our business, and the concentrated ownership of our common stock will prevent you and other stockholders from influencing significant decisions.</w:t>
      </w:r>
    </w:p>
    <w:p>
      <w:pPr>
        <w:spacing w:after="0" w:line="170"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As of September 30, 2018, BioXcel owns approximately 60.6% of the economic interest and voting power of our outstanding common stock. As long as BioXcel beneficially controls a majority of the voting power of our outstanding common stock, it will generally be able to determine the outcome of all corporate actions requiring stockholder approval, including the election and removal of directors. Even if BioXcel were to control less than a majority of the voting power of our outstanding common stock, it may influence the outcome of such corporate actions so long as it owns a significant portion of our common stock. If BioXcel continues to hold its shares of our common stock, it could remain our controlling stockholder for an extended period of time or indefinitely.</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commercial terms of the Amended Services Agreement dated November 7, 2017, the grid note dated June 30, 2017, or Grid Note, and the Contribution Agreement that we have entered into with BioXcel have been not been negotiated on behalf of BioXcel by persons consisting solely of disinterested BioXcel directors. Notwithstanding the foregoing, we have no basis for believing that the terms of these agreements will not be in the best interests of both BioXcel and its stockholders and also us and our stockholders.</w:t>
      </w:r>
    </w:p>
    <w:p>
      <w:pPr>
        <w:spacing w:after="0" w:line="18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Nonetheless, 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because of financial or other constraints or we may be unable to implement substitute arrangements on a timely basis on terms that are favorable to us, or at all.</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 might in turn adversely affect our reputation, revenues and/or business prospects, and may also adversely affect our access to EvolverAI and BioXcel’s collaborative services.</w:t>
      </w:r>
    </w:p>
    <w:p>
      <w:pPr>
        <w:spacing w:after="0" w:line="1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We have the option to enter into a collaborative services agreement with BioXcel, pursuant to which BioXcel shall perform product identification and related services for us utilizing EvolverAI. We have agreed that such agreement will be negotiated in good faith and that such agreement will incorporate reasonable market based terms, including royalty payments on net sales and reasonable development and commercialization milestone payments.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initial public offering.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continues to serve in the same respective roles at BioXcel. Two of our four directors currently serve on both our board of directors and the board of directors of BioXcel. Because of the current positions of our executive officer and our directors with BioXcel, they own shares of BioXcel common stock, options to purchase shares of BioXcel common stock or other equity awards of BioXcel. Our Chief Executive Officer, Vimal Mehta, Ph.D. and one of our directors, Krishnan Nandabalan, Ph.D., each own approximately 42% and 42%, respectively,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300" w:right="480" w:hanging="325"/>
        <w:spacing w:after="0" w:line="291"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intellectual property, technology and business matters, including failure to make required technology transfers and failure to comply with non-compete provisions applicable to BioXcel and us;</w:t>
      </w: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stockholders may not achieve some or all of the expected benefits of a separation from Bioxcel.</w:t>
      </w:r>
    </w:p>
    <w:p>
      <w:pPr>
        <w:spacing w:after="0" w:line="23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Drug development is an expensive and time-consuming process, but we believe the knowledge we have gained while operating as a subsidiary of BioXcel has helped expedite this process. However, in order to realize the value proposition of BTI as a drug development company, we intend to target early stage healthcare and pharmaceutical focused investors, who are interested in investing in drug development companies and who appreciate the risks, rewards and typically longer investment timelines associated with such investments. In order to successfully attract this type of new investment, we believe it is critical that we separate from BioXcel, because we believe that doing so will provide us with some or all of the following benefits:</w:t>
      </w:r>
    </w:p>
    <w:p>
      <w:pPr>
        <w:spacing w:after="0" w:line="189" w:lineRule="exact"/>
        <w:rPr>
          <w:sz w:val="20"/>
          <w:szCs w:val="20"/>
          <w:color w:val="auto"/>
        </w:rPr>
      </w:pPr>
    </w:p>
    <w:p>
      <w:pPr>
        <w:ind w:left="1300" w:right="240" w:hanging="325"/>
        <w:spacing w:after="0" w:line="25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improving strategic and operational flexibility, increasing management focus and streamlining decision-making by providing the flexibility to implement our strategic plan and to respond more effectively to different customer needs and the changing economic environment;</w:t>
      </w:r>
    </w:p>
    <w:p>
      <w:pPr>
        <w:ind w:left="1300" w:hanging="325"/>
        <w:spacing w:after="0" w:line="265"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allowing us to adopt the capital structure, investment policy and dividend policy best suited to our financial profile and business needs, without competing for capital with BioXcel’s other businesses;</w:t>
      </w:r>
    </w:p>
    <w:p>
      <w:pPr>
        <w:ind w:left="1300" w:right="80"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affect future acquisitions utilizing our common stock; and</w:t>
      </w:r>
    </w:p>
    <w:p>
      <w:pPr>
        <w:ind w:left="1300" w:right="200" w:hanging="325"/>
        <w:spacing w:after="0" w:line="25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our business, and enhancing employee hiring and retention by, among other things, improving the alignment of management and employee incentives with performance and growth objectives of our business.</w:t>
      </w:r>
    </w:p>
    <w:p>
      <w:pPr>
        <w:spacing w:after="0" w:line="190" w:lineRule="exact"/>
        <w:rPr>
          <w:sz w:val="20"/>
          <w:szCs w:val="20"/>
          <w:color w:val="auto"/>
        </w:rPr>
      </w:pPr>
    </w:p>
    <w:p>
      <w:pPr>
        <w:ind w:right="60" w:firstLine="324"/>
        <w:spacing w:after="0" w:line="327" w:lineRule="auto"/>
        <w:rPr>
          <w:sz w:val="20"/>
          <w:szCs w:val="20"/>
          <w:color w:val="auto"/>
        </w:rPr>
      </w:pPr>
      <w:r>
        <w:rPr>
          <w:rFonts w:ascii="Arial" w:cs="Arial" w:eastAsia="Arial" w:hAnsi="Arial"/>
          <w:sz w:val="15"/>
          <w:szCs w:val="15"/>
          <w:color w:val="auto"/>
        </w:rPr>
        <w:t>If we are not successful implementing the separation, we may not be able to achieve the full strategic and financial benefits we expect to receive, or the benefits may be delayed or not occur at all. Even if we are able to achieve stand-alone, independent status as a drug development company, there can be no assurance that investors and analysts will place a greater value on us as a stand-alone drug development company than as a wholly- or substantially-owned subsidiary of BioXcel.</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may qualify for, and may rely on, exemptions from certain corporate governance requirements that provide protection to stockholders of other companies.</w:t>
      </w:r>
    </w:p>
    <w:p>
      <w:pPr>
        <w:spacing w:after="0" w:line="10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BioXcel controls a majority of the voting power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controlled company, we rely on certain exemptions from the Nasdaq standards that may enable us not to comply with certain Nasdaq corporate governance requirements if BioXcel continues to control a majority of the voting power of our outstanding common stock. Accordingly, you may not have the same protections afforded to stockholders of companies that are subject to all of the corporate governance requirements of The Nasdaq Capital Market.</w:t>
      </w:r>
    </w:p>
    <w:p>
      <w:pPr>
        <w:spacing w:after="0" w:line="171"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assets and resources that we acquired from BioXcel may not be sufficient for us to operate as a stand-alone company, and we may experience difficulty in separating our assets and resources from BioXcel.</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Because we have not operated as a stand-alone company in the past, we may have difficulty doing so. We may need to acquire assets and resources in addition to those provided by BioXcel to us, and in connection with the separation, may also face difficulty in separating our resources from BioXcel’s and integrating newly acquired assets into our business. For example, we may need to hire additional personnel to assist with administrative and technical functions, and acquire other office and laboratory equipment for use in the ordinary course operations of our business. If we have difficulty operating as a stand-alone company, fail to acquire assets that we need to run our operations, or incur unexpected costs in separating our business from BioXcel’s business or in integrating newly acquired assets into our business, our financial condition and results of operations will be adversely affected.</w:t>
      </w:r>
    </w:p>
    <w:p>
      <w:pPr>
        <w:spacing w:after="0" w:line="1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You may have difficulty evaluating our business because we have no history as a separate company and our historical financial information may not be representative of our results as a separate company.</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historical financial information does not necessarily reflect the financial condition, results of operations or cash flows that we would have achieved as a separate company during the periods presented or those that we will achieve in the future. Prior to the contribution of our assets from BioXcel, our research and development activities were conducted by BioXcel as part of its broader operations, rather than as an independent division or subsidiary. BioXcel also performed various corporate functions relating to our business. Our historical financial information reflects allocations of corporate expenses from BioXcel for these and similar functions. We believe that these allocations are comparable to the expenses we would have incurred had we operated as a separate company, although we may incur higher expenses as a separate company.</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 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in accordance with cGMP prescribed by the FDA or to produce an adequate supply of compounds to meet future requirements for clinical trials and commercialization of our products. Drug manufacturing facilities are subject to inspection before the FDA will issue an approval to market a new drug product, and all of the manufacturers that we intend to use must adhere to the cGMP regulations prescribed by the FDA.</w:t>
      </w:r>
    </w:p>
    <w:p>
      <w:pPr>
        <w:spacing w:after="0" w:line="16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current good manufacturing practices, or 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78"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 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strategy for the development and commercialization of our proprietary product candidates may include the formation of collaborative arrangements with third parties. We are a party to two collaboration agreements (Research and Clinical) with Nektar Therapeutics, Inc., or Nektar, relating to Nektar’s NKTR-214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78" w:lineRule="exact"/>
        <w:rPr>
          <w:sz w:val="20"/>
          <w:szCs w:val="20"/>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19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jc w:val="both"/>
        <w:ind w:right="240" w:firstLine="324"/>
        <w:spacing w:after="0" w:line="288"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jc w:val="both"/>
        <w:ind w:right="580"/>
        <w:spacing w:after="0" w:line="302" w:lineRule="auto"/>
        <w:rPr>
          <w:sz w:val="20"/>
          <w:szCs w:val="20"/>
          <w:color w:val="auto"/>
        </w:rPr>
      </w:pPr>
      <w:r>
        <w:rPr>
          <w:rFonts w:ascii="Arial" w:cs="Arial" w:eastAsia="Arial" w:hAnsi="Arial"/>
          <w:sz w:val="16"/>
          <w:szCs w:val="16"/>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cGCPs, which are regulations and guidelines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enforced by the FDA, the Competent Authorities of the Member States of the European Economic Area, or EEA, and comparable foreign regulatory authorities for all of our products in clinical development.</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Regulatory authorities enforce these cGCPs through periodic inspections of trial sponsors, principal investigators and trial sites. If we or any of our CROs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w:t>
      </w:r>
    </w:p>
    <w:p>
      <w:pPr>
        <w:spacing w:after="0" w:line="17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September 30, 2018, we employed a total of sixteen full-time employees. In addition, we have access to certain of BioXcel’s employees and resources through the various agreements we have entered into with BioXcel. Our current internal departments include finance, research and development and administration. We have been expanding our management team to include an operation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300" w:right="6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500" w:hanging="325"/>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spacing w:after="0" w:line="1" w:lineRule="exact"/>
        <w:rPr>
          <w:rFonts w:ascii="Arial" w:cs="Arial" w:eastAsia="Arial" w:hAnsi="Arial"/>
          <w:sz w:val="18"/>
          <w:szCs w:val="18"/>
          <w:color w:val="auto"/>
        </w:rPr>
      </w:pPr>
    </w:p>
    <w:p>
      <w:pPr>
        <w:ind w:left="1300" w:right="620" w:hanging="325"/>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SaaS, or experience working with the pharma market is limited overall. In addition, many of the companies with which we compete for experienced personnel have greater resources than we have.</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 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any regulations applicable to us, to provide accurate information to regulatory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 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300" w:right="10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300" w:right="72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300" w:right="16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 applications pending in the United States and in certain foreign jurisdictions. We own Patent Cooperation Treaty, or PCT, patent applications relating to our platform technologies covering methods of use and applications of the platform technologies. To date, no patents have been issued to us specifically covering our product candidates, and we cannot be certain that any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17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300" w:right="120" w:hanging="325"/>
        <w:spacing w:after="0" w:line="258"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300" w:right="16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300" w:right="28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granted patents may be held invalid or unenforceable as a result of legal challenges by third parties; and</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300" w:hanging="325"/>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obligations;</w:t>
      </w:r>
    </w:p>
    <w:p>
      <w:pPr>
        <w:spacing w:after="0" w:line="20" w:lineRule="exact"/>
        <w:rPr>
          <w:rFonts w:ascii="Arial" w:cs="Arial" w:eastAsia="Arial" w:hAnsi="Arial"/>
          <w:sz w:val="17"/>
          <w:szCs w:val="17"/>
          <w:color w:val="auto"/>
        </w:rPr>
      </w:pPr>
    </w:p>
    <w:p>
      <w:pPr>
        <w:ind w:left="1300" w:right="140" w:hanging="325"/>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300" w:right="120" w:hanging="325"/>
        <w:spacing w:after="0" w:line="26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We cannot guarantee that our products, or manufacture or use of our product candidates, will not infringe third-party patents. 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some patent applications in the United States may be maintained in secrecy until the patents are issued;</w:t>
      </w:r>
    </w:p>
    <w:p>
      <w:pPr>
        <w:spacing w:after="0" w:line="46" w:lineRule="exact"/>
        <w:rPr>
          <w:rFonts w:ascii="Arial" w:cs="Arial" w:eastAsia="Arial" w:hAnsi="Arial"/>
          <w:sz w:val="16"/>
          <w:szCs w:val="16"/>
          <w:color w:val="auto"/>
        </w:rPr>
      </w:pPr>
    </w:p>
    <w:p>
      <w:pPr>
        <w:ind w:left="1300" w:right="200"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 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300" w:right="360" w:hanging="325"/>
        <w:spacing w:after="0" w:line="28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1" w:lineRule="exact"/>
        <w:rPr>
          <w:rFonts w:ascii="Arial" w:cs="Arial" w:eastAsia="Arial" w:hAnsi="Arial"/>
          <w:sz w:val="16"/>
          <w:szCs w:val="16"/>
          <w:color w:val="auto"/>
        </w:rPr>
      </w:pPr>
    </w:p>
    <w:p>
      <w:pPr>
        <w:ind w:left="1300" w:right="380" w:hanging="325"/>
        <w:spacing w:after="0" w:line="277"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Changes to patent law, including the Leahy-Smith America Invests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5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enforcing and maintaining our intellectual property protection depends on compliance with various procedural, document submission, fee payment and other requirements imposed by the U.S. Patent and Trademark Office, courts and foreign government patent agencies, and our patent protection could be reduced or eliminated for non-compliance with these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300" w:right="3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300" w:right="21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ind w:left="1300" w:right="23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300" w:right="65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secure resources and the necessary personnel to conduct clinical trials on our desired schedule;</w:t>
      </w:r>
    </w:p>
    <w:p>
      <w:pPr>
        <w:ind w:left="1300" w:right="7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300" w:right="15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300" w:right="31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300" w:right="21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32" w:lineRule="exact"/>
        <w:rPr>
          <w:rFonts w:ascii="Arial" w:cs="Arial" w:eastAsia="Arial" w:hAnsi="Arial"/>
          <w:sz w:val="16"/>
          <w:szCs w:val="16"/>
          <w:color w:val="auto"/>
        </w:rPr>
      </w:pPr>
    </w:p>
    <w:p>
      <w:pPr>
        <w:ind w:left="1300" w:right="73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300" w:right="7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300" w:right="59" w:hanging="325"/>
        <w:spacing w:after="0" w:line="250"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4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300" w:right="180"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300" w:hanging="325"/>
        <w:spacing w:after="0" w:line="281"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and economic conditions may negatively impact our business, financial condition and share price.</w:t>
      </w:r>
    </w:p>
    <w:p>
      <w:pPr>
        <w:spacing w:after="0" w:line="237"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Concerns over inflation, energy costs, geopolitical issues, the U.S. mortgage market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Failure to secure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any necessary financing in a timely manner and on favorable terms could have a material adverse effect on our growth strategy, financial performance, and share price and could require us to delay or abandon development or commercialization plans.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September 30, 2018, our directors, executive officers and principal stockholders, and their respective affiliates, beneficially own approximately 62% of our outstanding shares of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might harm the market price of our common stock by:</w:t>
      </w:r>
    </w:p>
    <w:p>
      <w:pPr>
        <w:spacing w:after="0" w:line="178"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300" w:right="220" w:hanging="325"/>
        <w:spacing w:after="0" w:line="261"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will be able to avail ourselves of reduced disclosure requirements applicable to emerging growth companies, which could make our common stock less attractive to investors.</w:t>
      </w:r>
    </w:p>
    <w:p>
      <w:pPr>
        <w:spacing w:after="0" w:line="14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 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3"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520" w:hanging="325"/>
        <w:spacing w:after="0" w:line="258"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 w:lineRule="exact"/>
        <w:rPr>
          <w:rFonts w:ascii="Arial" w:cs="Arial" w:eastAsia="Arial" w:hAnsi="Arial"/>
          <w:sz w:val="18"/>
          <w:szCs w:val="18"/>
          <w:color w:val="auto"/>
        </w:rPr>
      </w:pPr>
    </w:p>
    <w:p>
      <w:pPr>
        <w:ind w:left="1300" w:right="100" w:hanging="325"/>
        <w:spacing w:after="0" w:line="261"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compliance matters.</w:t>
      </w:r>
    </w:p>
    <w:p>
      <w:pPr>
        <w:spacing w:after="0" w:line="170"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As a publicly traded company that is separate from BioXcel, we will incur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5"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b w:val="1"/>
          <w:bCs w:val="1"/>
          <w:i w:val="1"/>
          <w:iCs w:val="1"/>
          <w:color w:val="auto"/>
        </w:rPr>
        <w:t>If we fail to comply with the rules under the Sarbanes-Oxley Act of 2002 related to accounting controls and procedures in the future, or, if we discover additional material weaknesses and other deficiencies in our internal control and accounting procedures, our stock price could decline significantly and raising capital could be more difficult. Our management determined that our disclosure controls and procedures and internal controls were ineffective as of December 31, 2017 and 2016 and if they continue to be ineffective could result in material misstatements in our financial statements.</w:t>
      </w:r>
    </w:p>
    <w:p>
      <w:pPr>
        <w:spacing w:after="0" w:line="147"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In connection with the audit of our financial statements for the years ended December 31, 2017 and 2016, our management concluded that we had material weaknesses in its internal controls because we did not have adequately designed internal controls to ensure the timely preparation and review of the accounting for certain complex, non-routine transactions by those with appropriate technical expertise, which was necessary to provide reasonable assurance that our financial statements and related disclosures would be prepared in accordance with generally accepted accounting principles in the United States of America. In addition, we did not have adequately designed and documented financial close and management review controls to properly detect and prevent certain accounting errors and omitted disclosures in the financial statements and related footnotes. We believe we have addressed this weakness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 This investment may result in increased general and administrative expenses and a diversion of management’s time and attention from revenue-generating activities to compliance activities. If additional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prevent fraud, our business and operating results could be harmed, investors could lose confidence in our reported financial information, and the trading price of our common stock could drop significantly.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purchasers of our common stock.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gridSpan w:val="7"/>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line="170"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8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Clinical Trial Collaboration Agreement, dated September 21, 2018, by and between BioXcel Therapeutics,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Inc. and Nektar Therapeutics</w:t>
              </w:r>
            </w:hyperlink>
          </w:p>
        </w:tc>
        <w:tc>
          <w:tcPr>
            <w:tcW w:w="56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69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Certification of Principal Executive Officer Pursuant to Rules 13a-14(a) and 15d-14(a) under the</w:t>
              </w:r>
            </w:hyperlink>
          </w:p>
        </w:tc>
        <w:tc>
          <w:tcPr>
            <w:tcW w:w="7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00" w:type="dxa"/>
            <w:vAlign w:val="bottom"/>
            <w:gridSpan w:val="11"/>
          </w:tcPr>
          <w:p>
            <w:pPr>
              <w:spacing w:after="0" w:line="196" w:lineRule="exact"/>
              <w:rPr>
                <w:rFonts w:ascii="Arial" w:cs="Arial" w:eastAsia="Arial" w:hAnsi="Arial"/>
                <w:sz w:val="18"/>
                <w:szCs w:val="18"/>
                <w:color w:val="0000EE"/>
                <w:w w:val="91"/>
              </w:rPr>
            </w:pPr>
            <w:hyperlink w:anchor="page139">
              <w:r>
                <w:rPr>
                  <w:rFonts w:ascii="Arial" w:cs="Arial" w:eastAsia="Arial" w:hAnsi="Arial"/>
                  <w:sz w:val="18"/>
                  <w:szCs w:val="18"/>
                  <w:color w:val="0000EE"/>
                  <w:w w:val="91"/>
                </w:rPr>
                <w:t>Securities Exchange Act of 1934,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6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40">
              <w:r>
                <w:rPr>
                  <w:rFonts w:ascii="Arial" w:cs="Arial" w:eastAsia="Arial" w:hAnsi="Arial"/>
                  <w:sz w:val="18"/>
                  <w:szCs w:val="18"/>
                  <w:color w:val="0000EE"/>
                  <w:w w:val="91"/>
                </w:rPr>
                <w:t>Certification of Principal Financial Officer Pursuant to Rules 13a-14(a) and 15d-14(a) under the Securities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40">
              <w:r>
                <w:rPr>
                  <w:rFonts w:ascii="Arial" w:cs="Arial" w:eastAsia="Arial" w:hAnsi="Arial"/>
                  <w:sz w:val="18"/>
                  <w:szCs w:val="18"/>
                  <w:color w:val="0000EE"/>
                  <w:w w:val="90"/>
                </w:rPr>
                <w:t>Exchange Act of 1934, as Adopted Pursuant to Section 302 of the Sarbanes-Oxley Act of 2002.</w:t>
              </w:r>
            </w:hyperlink>
          </w:p>
        </w:tc>
        <w:tc>
          <w:tcPr>
            <w:tcW w:w="8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700" w:type="dxa"/>
            <w:vAlign w:val="bottom"/>
            <w:gridSpan w:val="11"/>
          </w:tcPr>
          <w:p>
            <w:pPr>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Certification of Principal Executive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142">
              <w:r>
                <w:rPr>
                  <w:rFonts w:ascii="Arial" w:cs="Arial" w:eastAsia="Arial" w:hAnsi="Arial"/>
                  <w:sz w:val="18"/>
                  <w:szCs w:val="18"/>
                  <w:color w:val="0000EE"/>
                  <w:w w:val="90"/>
                </w:rPr>
                <w:t>Section 906 of the Sarbanes-Oxley Act of 2002.</w:t>
              </w:r>
            </w:hyperlink>
          </w:p>
        </w:tc>
        <w:tc>
          <w:tcPr>
            <w:tcW w:w="402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43">
              <w:r>
                <w:rPr>
                  <w:rFonts w:ascii="Arial" w:cs="Arial" w:eastAsia="Arial" w:hAnsi="Arial"/>
                  <w:sz w:val="18"/>
                  <w:szCs w:val="18"/>
                  <w:color w:val="0000EE"/>
                  <w:w w:val="91"/>
                </w:rPr>
                <w:t>Certification of Principal Financial Officer Pursuant to 18 U.S.C. Section 1350, as Adopted Pursuant to</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00" w:type="dxa"/>
            <w:vAlign w:val="bottom"/>
            <w:gridSpan w:val="11"/>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Section 906 of the Sarbanes-Oxley Act of 2002.</w:t>
              </w:r>
            </w:hyperlink>
          </w:p>
        </w:tc>
        <w:tc>
          <w:tcPr>
            <w:tcW w:w="0" w:type="dxa"/>
            <w:vAlign w:val="bottom"/>
          </w:tcPr>
          <w:p>
            <w:pPr>
              <w:spacing w:after="0"/>
              <w:rPr>
                <w:sz w:val="1"/>
                <w:szCs w:val="1"/>
                <w:color w:val="auto"/>
              </w:rPr>
            </w:pPr>
          </w:p>
        </w:tc>
      </w:tr>
      <w:tr>
        <w:trPr>
          <w:trHeight w:val="453"/>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3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4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77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77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77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77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77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225" w:lineRule="exact"/>
        <w:rPr>
          <w:sz w:val="20"/>
          <w:szCs w:val="20"/>
          <w:color w:val="auto"/>
        </w:rPr>
      </w:pPr>
    </w:p>
    <w:p>
      <w:pPr>
        <w:ind w:left="640" w:hanging="637"/>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280" w:hanging="657"/>
        <w:spacing w:after="0" w:line="261" w:lineRule="auto"/>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24b-2 under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Dated: November 9, 2018</w:t>
            </w: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4540" w:type="dxa"/>
            <w:vAlign w:val="bottom"/>
          </w:tcPr>
          <w:p>
            <w:pPr>
              <w:spacing w:after="0"/>
              <w:rPr>
                <w:sz w:val="20"/>
                <w:szCs w:val="20"/>
                <w:color w:val="auto"/>
              </w:rPr>
            </w:pPr>
            <w:r>
              <w:rPr>
                <w:rFonts w:ascii="Arial" w:cs="Arial" w:eastAsia="Arial" w:hAnsi="Arial"/>
                <w:sz w:val="18"/>
                <w:szCs w:val="18"/>
                <w:color w:val="auto"/>
              </w:rPr>
              <w:t>Dated: November 9, 2018</w:t>
            </w: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b w:val="1"/>
          <w:bCs w:val="1"/>
          <w:color w:val="auto"/>
        </w:rPr>
        <w:t>Exhibit 10.1</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4" w:lineRule="exact"/>
        <w:rPr>
          <w:sz w:val="20"/>
          <w:szCs w:val="20"/>
          <w:color w:val="auto"/>
        </w:rPr>
      </w:pPr>
    </w:p>
    <w:p>
      <w:pPr>
        <w:ind w:left="8381"/>
        <w:spacing w:after="0"/>
        <w:rPr>
          <w:sz w:val="20"/>
          <w:szCs w:val="20"/>
          <w:color w:val="auto"/>
        </w:rPr>
      </w:pPr>
      <w:r>
        <w:rPr>
          <w:rFonts w:ascii="Arial" w:cs="Arial" w:eastAsia="Arial" w:hAnsi="Arial"/>
          <w:sz w:val="22"/>
          <w:szCs w:val="22"/>
          <w:b w:val="1"/>
          <w:bCs w:val="1"/>
          <w:color w:val="auto"/>
        </w:rPr>
        <w:t>CONFIDENTIAL</w:t>
      </w:r>
    </w:p>
    <w:p>
      <w:pPr>
        <w:spacing w:after="0" w:line="188"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CLINICAL TRIAL COLLABORATION AGREEMENT</w:t>
      </w:r>
    </w:p>
    <w:p>
      <w:pPr>
        <w:spacing w:after="0" w:line="206"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CLINICAL TRIAL COLLABORATION AGREEMENT</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and entered into effective as of September 21, 2018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BioXcel Therapeutics, a Delaware corporation, headquartered at 780 East Main Street, Branford, CT 06405 (“</w:t>
      </w:r>
      <w:r>
        <w:rPr>
          <w:rFonts w:ascii="Arial" w:cs="Arial" w:eastAsia="Arial" w:hAnsi="Arial"/>
          <w:sz w:val="22"/>
          <w:szCs w:val="22"/>
          <w:b w:val="1"/>
          <w:bCs w:val="1"/>
          <w:i w:val="1"/>
          <w:iCs w:val="1"/>
          <w:color w:val="auto"/>
        </w:rPr>
        <w:t>BioXcel</w:t>
      </w:r>
      <w:r>
        <w:rPr>
          <w:rFonts w:ascii="Arial" w:cs="Arial" w:eastAsia="Arial" w:hAnsi="Arial"/>
          <w:sz w:val="22"/>
          <w:szCs w:val="22"/>
          <w:i w:val="1"/>
          <w:iCs w:val="1"/>
          <w:color w:val="auto"/>
        </w:rPr>
        <w:t>”</w:t>
      </w:r>
      <w:r>
        <w:rPr>
          <w:rFonts w:ascii="Arial" w:cs="Arial" w:eastAsia="Arial" w:hAnsi="Arial"/>
          <w:sz w:val="22"/>
          <w:szCs w:val="22"/>
          <w:color w:val="auto"/>
        </w:rPr>
        <w:t>), and Nektar Therapeutics, a Delaware corporation, headquartered at 455 Mission Bay Boulevard South, San Francisco, CA 94158 (“</w:t>
      </w:r>
      <w:r>
        <w:rPr>
          <w:rFonts w:ascii="Arial" w:cs="Arial" w:eastAsia="Arial" w:hAnsi="Arial"/>
          <w:sz w:val="22"/>
          <w:szCs w:val="22"/>
          <w:b w:val="1"/>
          <w:bCs w:val="1"/>
          <w:i w:val="1"/>
          <w:iCs w:val="1"/>
          <w:color w:val="auto"/>
        </w:rPr>
        <w:t>Nektar</w:t>
      </w:r>
      <w:r>
        <w:rPr>
          <w:rFonts w:ascii="Arial" w:cs="Arial" w:eastAsia="Arial" w:hAnsi="Arial"/>
          <w:sz w:val="22"/>
          <w:szCs w:val="22"/>
          <w:i w:val="1"/>
          <w:iCs w:val="1"/>
          <w:color w:val="auto"/>
        </w:rPr>
        <w:t>”</w:t>
      </w:r>
      <w:r>
        <w:rPr>
          <w:rFonts w:ascii="Arial" w:cs="Arial" w:eastAsia="Arial" w:hAnsi="Arial"/>
          <w:sz w:val="22"/>
          <w:szCs w:val="22"/>
          <w:color w:val="auto"/>
        </w:rPr>
        <w:t>). BioXcel and Nektar may be referred to herein individually as a “</w:t>
      </w:r>
      <w:r>
        <w:rPr>
          <w:rFonts w:ascii="Arial" w:cs="Arial" w:eastAsia="Arial" w:hAnsi="Arial"/>
          <w:sz w:val="22"/>
          <w:szCs w:val="22"/>
          <w:b w:val="1"/>
          <w:bCs w:val="1"/>
          <w:i w:val="1"/>
          <w:iCs w:val="1"/>
          <w:color w:val="auto"/>
        </w:rPr>
        <w:t>Party</w:t>
      </w:r>
      <w:r>
        <w:rPr>
          <w:rFonts w:ascii="Arial" w:cs="Arial" w:eastAsia="Arial" w:hAnsi="Arial"/>
          <w:sz w:val="22"/>
          <w:szCs w:val="22"/>
          <w:i w:val="1"/>
          <w:iCs w:val="1"/>
          <w:color w:val="auto"/>
        </w:rPr>
        <w:t>,</w:t>
      </w:r>
      <w:r>
        <w:rPr>
          <w:rFonts w:ascii="Arial" w:cs="Arial" w:eastAsia="Arial" w:hAnsi="Arial"/>
          <w:sz w:val="22"/>
          <w:szCs w:val="22"/>
          <w:color w:val="auto"/>
        </w:rPr>
        <w:t>” or collectively as the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left="1"/>
        <w:spacing w:after="0" w:line="23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BioXcel and Nektar desire to collaborate on one or more clinical trials of a combination therapy using</w:t>
      </w:r>
      <w:r>
        <w:rPr>
          <w:rFonts w:ascii="Arial" w:cs="Arial" w:eastAsia="Arial" w:hAnsi="Arial"/>
          <w:sz w:val="22"/>
          <w:szCs w:val="22"/>
          <w:b w:val="1"/>
          <w:bCs w:val="1"/>
          <w:color w:val="auto"/>
        </w:rPr>
        <w:t xml:space="preserve"> </w:t>
      </w:r>
      <w:r>
        <w:rPr>
          <w:rFonts w:ascii="Arial" w:cs="Arial" w:eastAsia="Arial" w:hAnsi="Arial"/>
          <w:sz w:val="22"/>
          <w:szCs w:val="22"/>
          <w:color w:val="auto"/>
        </w:rPr>
        <w:t>Nektar’s IL2-based CD122-biased agonist, known as “</w:t>
      </w:r>
      <w:r>
        <w:rPr>
          <w:rFonts w:ascii="Arial" w:cs="Arial" w:eastAsia="Arial" w:hAnsi="Arial"/>
          <w:sz w:val="22"/>
          <w:szCs w:val="22"/>
          <w:b w:val="1"/>
          <w:bCs w:val="1"/>
          <w:i w:val="1"/>
          <w:iCs w:val="1"/>
          <w:color w:val="auto"/>
        </w:rPr>
        <w:t>NKTR-214</w:t>
      </w:r>
      <w:r>
        <w:rPr>
          <w:rFonts w:ascii="Arial" w:cs="Arial" w:eastAsia="Arial" w:hAnsi="Arial"/>
          <w:sz w:val="22"/>
          <w:szCs w:val="22"/>
          <w:color w:val="auto"/>
        </w:rPr>
        <w:t>”, BioXcel’s small molecule inhibitor of dipeptidyl peptidase 8-9 (DPP8-9) and fibroblast activation protein (FAP), known as “</w:t>
      </w:r>
      <w:r>
        <w:rPr>
          <w:rFonts w:ascii="Arial" w:cs="Arial" w:eastAsia="Arial" w:hAnsi="Arial"/>
          <w:sz w:val="22"/>
          <w:szCs w:val="22"/>
          <w:b w:val="1"/>
          <w:bCs w:val="1"/>
          <w:i w:val="1"/>
          <w:iCs w:val="1"/>
          <w:color w:val="auto"/>
        </w:rPr>
        <w:t>BXCL701</w:t>
      </w:r>
      <w:r>
        <w:rPr>
          <w:rFonts w:ascii="Arial" w:cs="Arial" w:eastAsia="Arial" w:hAnsi="Arial"/>
          <w:sz w:val="22"/>
          <w:szCs w:val="22"/>
          <w:color w:val="auto"/>
        </w:rPr>
        <w:t>”, and a CPI Compound to be mutually agreed by the Parties;</w:t>
      </w:r>
    </w:p>
    <w:p>
      <w:pPr>
        <w:spacing w:after="0" w:line="181" w:lineRule="exact"/>
        <w:rPr>
          <w:sz w:val="20"/>
          <w:szCs w:val="20"/>
          <w:color w:val="auto"/>
        </w:rPr>
      </w:pPr>
    </w:p>
    <w:p>
      <w:pPr>
        <w:jc w:val="both"/>
        <w:ind w:left="1"/>
        <w:spacing w:after="0" w:line="239"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Nektar and BMS have previously entered into that certain Strategic Collaboration Agreement with an</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of April 3, 2018 (the “</w:t>
      </w:r>
      <w:r>
        <w:rPr>
          <w:rFonts w:ascii="Arial" w:cs="Arial" w:eastAsia="Arial" w:hAnsi="Arial"/>
          <w:sz w:val="22"/>
          <w:szCs w:val="22"/>
          <w:b w:val="1"/>
          <w:bCs w:val="1"/>
          <w:i w:val="1"/>
          <w:iCs w:val="1"/>
          <w:color w:val="auto"/>
        </w:rPr>
        <w:t>SCA</w:t>
      </w:r>
      <w:r>
        <w:rPr>
          <w:rFonts w:ascii="Arial" w:cs="Arial" w:eastAsia="Arial" w:hAnsi="Arial"/>
          <w:sz w:val="22"/>
          <w:szCs w:val="22"/>
          <w:color w:val="auto"/>
        </w:rPr>
        <w:t xml:space="preserve">”), for the collaboration on clinical development and commercialization of, </w:t>
      </w:r>
      <w:r>
        <w:rPr>
          <w:rFonts w:ascii="Arial" w:cs="Arial" w:eastAsia="Arial" w:hAnsi="Arial"/>
          <w:sz w:val="22"/>
          <w:szCs w:val="22"/>
          <w:i w:val="1"/>
          <w:iCs w:val="1"/>
          <w:color w:val="auto"/>
        </w:rPr>
        <w:t xml:space="preserve">inter alia, </w:t>
      </w:r>
      <w:r>
        <w:rPr>
          <w:rFonts w:ascii="Arial" w:cs="Arial" w:eastAsia="Arial" w:hAnsi="Arial"/>
          <w:sz w:val="22"/>
          <w:szCs w:val="22"/>
          <w:color w:val="auto"/>
        </w:rPr>
        <w:t>a combination therapy of NKTR-214 and BMS’s human monoclonal antibody that binds PD-1 known as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Nivolumab</w:t>
      </w:r>
      <w:r>
        <w:rPr>
          <w:rFonts w:ascii="Arial" w:cs="Arial" w:eastAsia="Arial" w:hAnsi="Arial"/>
          <w:sz w:val="22"/>
          <w:szCs w:val="22"/>
          <w:color w:val="auto"/>
        </w:rPr>
        <w:t>”; and</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Nektar has obtained any necessary consent from BMS to enter into this Agreement.</w:t>
      </w:r>
    </w:p>
    <w:p>
      <w:pPr>
        <w:spacing w:after="0" w:line="206" w:lineRule="exact"/>
        <w:rPr>
          <w:sz w:val="20"/>
          <w:szCs w:val="20"/>
          <w:color w:val="auto"/>
        </w:rPr>
      </w:pPr>
    </w:p>
    <w:p>
      <w:pPr>
        <w:jc w:val="both"/>
        <w:ind w:left="1"/>
        <w:spacing w:after="0" w:line="256"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foregoing premises and the mutual promises and covenants</w:t>
      </w:r>
      <w:r>
        <w:rPr>
          <w:rFonts w:ascii="Arial" w:cs="Arial" w:eastAsia="Arial" w:hAnsi="Arial"/>
          <w:sz w:val="22"/>
          <w:szCs w:val="22"/>
          <w:b w:val="1"/>
          <w:bCs w:val="1"/>
          <w:color w:val="auto"/>
        </w:rPr>
        <w:t xml:space="preserve"> </w:t>
      </w:r>
      <w:r>
        <w:rPr>
          <w:rFonts w:ascii="Arial" w:cs="Arial" w:eastAsia="Arial" w:hAnsi="Arial"/>
          <w:sz w:val="22"/>
          <w:szCs w:val="22"/>
          <w:color w:val="auto"/>
        </w:rPr>
        <w:t>contained herein, the Parties agree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188" w:lineRule="exact"/>
        <w:rPr>
          <w:sz w:val="20"/>
          <w:szCs w:val="20"/>
          <w:color w:val="auto"/>
        </w:rPr>
      </w:pPr>
    </w:p>
    <w:p>
      <w:pPr>
        <w:jc w:val="both"/>
        <w:ind w:left="1"/>
        <w:spacing w:after="0" w:line="328" w:lineRule="auto"/>
        <w:rPr>
          <w:sz w:val="20"/>
          <w:szCs w:val="20"/>
          <w:color w:val="auto"/>
        </w:rPr>
      </w:pPr>
      <w:r>
        <w:rPr>
          <w:rFonts w:ascii="Arial" w:cs="Arial" w:eastAsia="Arial" w:hAnsi="Arial"/>
          <w:sz w:val="19"/>
          <w:szCs w:val="19"/>
          <w:color w:val="auto"/>
        </w:rPr>
        <w:t>The terms in this Agreement with initial letters capitalized, whether used in the singular or the plural, shall have the meaning set forth below or, if not listed below, the meaning designated in places throughout this Agreement.</w:t>
      </w:r>
    </w:p>
    <w:p>
      <w:pPr>
        <w:spacing w:after="0" w:line="99"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9"/>
          <w:szCs w:val="19"/>
          <w:b w:val="1"/>
          <w:bCs w:val="1"/>
          <w:color w:val="auto"/>
        </w:rPr>
        <w:t xml:space="preserve">1.1 </w:t>
      </w: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shall mean, with respect to a particular Entity, any other Entity that, directly or indirectly,</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one or more intermediaries, controls, is controlled by or is under common control with such particular Entity, but only for so long as such Entity meets the definition of Affiliate hereunder. As used in this section, the term “controls” (with correlative meanings for the terms “controlled by” or “under common control with”) means</w:t>
      </w:r>
    </w:p>
    <w:p>
      <w:pPr>
        <w:spacing w:after="0" w:line="2" w:lineRule="exact"/>
        <w:rPr>
          <w:sz w:val="20"/>
          <w:szCs w:val="20"/>
          <w:color w:val="auto"/>
        </w:rPr>
      </w:pPr>
    </w:p>
    <w:p>
      <w:pPr>
        <w:ind w:left="301" w:hanging="301"/>
        <w:spacing w:after="0"/>
        <w:tabs>
          <w:tab w:leader="none" w:pos="30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that an Entity owns, directly or indirectly, more than fifty percent (50%) of the voting stock of another Entity, or</w:t>
      </w:r>
    </w:p>
    <w:p>
      <w:pPr>
        <w:spacing w:after="0" w:line="24" w:lineRule="exact"/>
        <w:rPr>
          <w:rFonts w:ascii="Arial" w:cs="Arial" w:eastAsia="Arial" w:hAnsi="Arial"/>
          <w:sz w:val="19"/>
          <w:szCs w:val="19"/>
          <w:color w:val="auto"/>
        </w:rPr>
      </w:pPr>
    </w:p>
    <w:p>
      <w:pPr>
        <w:ind w:left="1" w:hanging="1"/>
        <w:spacing w:after="0" w:line="237" w:lineRule="auto"/>
        <w:tabs>
          <w:tab w:leader="none" w:pos="347"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that such Entity otherwise has the actual ability to control and direct the management of the other Entity, whether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70" w:name="page71"/>
    <w:bookmarkEnd w:id="70"/>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ind w:left="641"/>
        <w:spacing w:after="0"/>
        <w:tabs>
          <w:tab w:leader="none" w:pos="132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Aggregate Safety Information</w:t>
      </w:r>
      <w:r>
        <w:rPr>
          <w:rFonts w:ascii="Arial" w:cs="Arial" w:eastAsia="Arial" w:hAnsi="Arial"/>
          <w:sz w:val="19"/>
          <w:szCs w:val="19"/>
          <w:color w:val="auto"/>
        </w:rPr>
        <w:t>” shall mean, with respect to a Party’s Single Agent Compound, the</w:t>
      </w:r>
    </w:p>
    <w:p>
      <w:pPr>
        <w:spacing w:after="0" w:line="14" w:lineRule="exact"/>
        <w:rPr>
          <w:sz w:val="20"/>
          <w:szCs w:val="20"/>
          <w:color w:val="auto"/>
        </w:rPr>
      </w:pPr>
    </w:p>
    <w:p>
      <w:pPr>
        <w:ind w:left="321" w:hanging="321"/>
        <w:spacing w:after="0"/>
        <w:tabs>
          <w:tab w:leader="none" w:pos="321" w:val="left"/>
        </w:tabs>
        <w:numPr>
          <w:ilvl w:val="0"/>
          <w:numId w:val="43"/>
        </w:numPr>
        <w:rPr>
          <w:rFonts w:ascii="Arial" w:cs="Arial" w:eastAsia="Arial" w:hAnsi="Arial"/>
          <w:sz w:val="19"/>
          <w:szCs w:val="19"/>
          <w:color w:val="auto"/>
        </w:rPr>
      </w:pPr>
      <w:r>
        <w:rPr>
          <w:rFonts w:ascii="Arial" w:cs="Arial" w:eastAsia="Arial" w:hAnsi="Arial"/>
          <w:sz w:val="19"/>
          <w:szCs w:val="19"/>
          <w:color w:val="auto"/>
        </w:rPr>
        <w:t>safety and toxicity information for such Single Agent Compound that is Combined Therapy Study Data, plus</w:t>
      </w:r>
    </w:p>
    <w:p>
      <w:pPr>
        <w:spacing w:after="0" w:line="24" w:lineRule="exact"/>
        <w:rPr>
          <w:rFonts w:ascii="Arial" w:cs="Arial" w:eastAsia="Arial" w:hAnsi="Arial"/>
          <w:sz w:val="19"/>
          <w:szCs w:val="19"/>
          <w:color w:val="auto"/>
        </w:rPr>
      </w:pPr>
    </w:p>
    <w:p>
      <w:pPr>
        <w:jc w:val="both"/>
        <w:ind w:left="1" w:hanging="1"/>
        <w:spacing w:after="0" w:line="244" w:lineRule="auto"/>
        <w:tabs>
          <w:tab w:leader="none" w:pos="307" w:val="left"/>
        </w:tabs>
        <w:numPr>
          <w:ilvl w:val="0"/>
          <w:numId w:val="43"/>
        </w:numPr>
        <w:rPr>
          <w:rFonts w:ascii="Arial" w:cs="Arial" w:eastAsia="Arial" w:hAnsi="Arial"/>
          <w:sz w:val="21"/>
          <w:szCs w:val="21"/>
          <w:color w:val="auto"/>
        </w:rPr>
      </w:pPr>
      <w:r>
        <w:rPr>
          <w:rFonts w:ascii="Arial" w:cs="Arial" w:eastAsia="Arial" w:hAnsi="Arial"/>
          <w:sz w:val="21"/>
          <w:szCs w:val="21"/>
          <w:color w:val="auto"/>
        </w:rPr>
        <w:t>safety and toxicity information from all other clinical trials of such Single Agent Compound, whether alone or in combination with another pharmaceutical agent, in each case including information related to serious adverse events, adverse drug reactions, adverse events, discontinuations due to adverse events and Grade 3 and Grade 4 laboratory abnormalities. Aggregate Safety Information shall be provided by a Party to the other in the same format as is contained in the investigators’ brochures prepared by such Party for its Compound in each country where a Combined Therapy Trial will be conducted.</w:t>
      </w:r>
    </w:p>
    <w:p>
      <w:pPr>
        <w:spacing w:after="0" w:line="178" w:lineRule="exact"/>
        <w:rPr>
          <w:sz w:val="20"/>
          <w:szCs w:val="20"/>
          <w:color w:val="auto"/>
        </w:rPr>
      </w:pPr>
    </w:p>
    <w:p>
      <w:pPr>
        <w:jc w:val="both"/>
        <w:ind w:left="1" w:firstLine="648"/>
        <w:spacing w:after="0" w:line="256" w:lineRule="auto"/>
        <w:rPr>
          <w:sz w:val="20"/>
          <w:szCs w:val="20"/>
          <w:color w:val="auto"/>
        </w:rPr>
      </w:pPr>
      <w:r>
        <w:rPr>
          <w:rFonts w:ascii="Arial" w:cs="Arial" w:eastAsia="Arial" w:hAnsi="Arial"/>
          <w:sz w:val="22"/>
          <w:szCs w:val="22"/>
          <w:b w:val="1"/>
          <w:bCs w:val="1"/>
          <w:color w:val="auto"/>
        </w:rPr>
        <w:t xml:space="preserve">1.3 </w:t>
      </w: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set forth in the preamble to this Agreement, as it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by the Parties from time to time.</w:t>
      </w:r>
    </w:p>
    <w:p>
      <w:pPr>
        <w:spacing w:after="0" w:line="163" w:lineRule="exact"/>
        <w:rPr>
          <w:sz w:val="20"/>
          <w:szCs w:val="20"/>
          <w:color w:val="auto"/>
        </w:rPr>
      </w:pPr>
    </w:p>
    <w:p>
      <w:pPr>
        <w:jc w:val="both"/>
        <w:ind w:left="1" w:firstLine="648"/>
        <w:spacing w:after="0" w:line="301"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shall mean all applicable laws, rules and regulations (whether federal, state or</w:t>
      </w:r>
      <w:r>
        <w:rPr>
          <w:rFonts w:ascii="Arial" w:cs="Arial" w:eastAsia="Arial" w:hAnsi="Arial"/>
          <w:sz w:val="19"/>
          <w:szCs w:val="19"/>
          <w:b w:val="1"/>
          <w:bCs w:val="1"/>
          <w:color w:val="auto"/>
        </w:rPr>
        <w:t xml:space="preserve"> </w:t>
      </w:r>
      <w:r>
        <w:rPr>
          <w:rFonts w:ascii="Arial" w:cs="Arial" w:eastAsia="Arial" w:hAnsi="Arial"/>
          <w:sz w:val="19"/>
          <w:szCs w:val="19"/>
          <w:color w:val="auto"/>
        </w:rPr>
        <w:t>local) that may be in effect from time to time and applicable to conduct under this Agreement, including current Good Clinical Practices (GCP), Good Laboratory Practices (GLP) and Good Manufacturing Practices (GMP).</w:t>
      </w:r>
    </w:p>
    <w:p>
      <w:pPr>
        <w:spacing w:after="0" w:line="123"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1"/>
          <w:szCs w:val="21"/>
          <w:b w:val="1"/>
          <w:bCs w:val="1"/>
          <w:color w:val="auto"/>
        </w:rPr>
        <w:t xml:space="preserve">1.5 </w:t>
      </w:r>
      <w:r>
        <w:rPr>
          <w:rFonts w:ascii="Arial" w:cs="Arial" w:eastAsia="Arial" w:hAnsi="Arial"/>
          <w:sz w:val="21"/>
          <w:szCs w:val="21"/>
          <w:color w:val="auto"/>
        </w:rPr>
        <w:t>“</w:t>
      </w:r>
      <w:r>
        <w:rPr>
          <w:rFonts w:ascii="Arial" w:cs="Arial" w:eastAsia="Arial" w:hAnsi="Arial"/>
          <w:sz w:val="21"/>
          <w:szCs w:val="21"/>
          <w:b w:val="1"/>
          <w:bCs w:val="1"/>
          <w:i w:val="1"/>
          <w:iCs w:val="1"/>
          <w:color w:val="auto"/>
        </w:rPr>
        <w:t>Arbitration Matter</w:t>
      </w:r>
      <w:r>
        <w:rPr>
          <w:rFonts w:ascii="Arial" w:cs="Arial" w:eastAsia="Arial" w:hAnsi="Arial"/>
          <w:sz w:val="21"/>
          <w:szCs w:val="21"/>
          <w:color w:val="auto"/>
        </w:rPr>
        <w:t>” shall mean any disputed matter that relates to or arises out of the validity,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interpretation or construction of, or the compliance with or breach of, this Agreement;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such disputed matter has been considered, but not resolved, by the Executive Officers as set forth in Section 13.3(a). For clarity, no JDC Dispute that is subject to Sections 2.8(a) or 2.8(b), no Publication Dispute nor any other matter requiring mutual agreement of both Parties shall be an Arbitration Matter.</w:t>
      </w:r>
    </w:p>
    <w:p>
      <w:pPr>
        <w:spacing w:after="0" w:line="169"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i w:val="1"/>
          <w:iCs w:val="1"/>
          <w:color w:val="auto"/>
        </w:rPr>
        <w:t>Bioanalysis Plan</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bioanalysis plan for any Samples as may be contemplated by a</w:t>
      </w:r>
      <w:r>
        <w:rPr>
          <w:rFonts w:ascii="Arial" w:cs="Arial" w:eastAsia="Arial" w:hAnsi="Arial"/>
          <w:sz w:val="22"/>
          <w:szCs w:val="22"/>
          <w:b w:val="1"/>
          <w:bCs w:val="1"/>
          <w:color w:val="auto"/>
        </w:rPr>
        <w:t xml:space="preserve"> </w:t>
      </w:r>
      <w:r>
        <w:rPr>
          <w:rFonts w:ascii="Arial" w:cs="Arial" w:eastAsia="Arial" w:hAnsi="Arial"/>
          <w:sz w:val="22"/>
          <w:szCs w:val="22"/>
          <w:color w:val="auto"/>
        </w:rPr>
        <w:t>Combined Therapy Trial, Protocol or another subsequent written agreement between the Parties, as described in Section 13.7.</w:t>
      </w:r>
    </w:p>
    <w:p>
      <w:pPr>
        <w:spacing w:after="0" w:line="177"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BioXcel</w:t>
      </w:r>
      <w:r>
        <w:rPr>
          <w:rFonts w:ascii="Arial" w:cs="Arial" w:eastAsia="Arial" w:hAnsi="Arial"/>
          <w:sz w:val="19"/>
          <w:szCs w:val="19"/>
          <w:color w:val="auto"/>
        </w:rPr>
        <w:t>” shall have the meaning set forth in the preamble to this Agreement.</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BioXcel Compound</w:t>
      </w:r>
      <w:r>
        <w:rPr>
          <w:rFonts w:ascii="Arial" w:cs="Arial" w:eastAsia="Arial" w:hAnsi="Arial"/>
          <w:sz w:val="19"/>
          <w:szCs w:val="19"/>
          <w:color w:val="auto"/>
        </w:rPr>
        <w:t xml:space="preserve">” shall mean BXCL701, as set forth on the attached </w:t>
      </w:r>
      <w:r>
        <w:rPr>
          <w:rFonts w:ascii="Arial" w:cs="Arial" w:eastAsia="Arial" w:hAnsi="Arial"/>
          <w:sz w:val="19"/>
          <w:szCs w:val="19"/>
          <w:u w:val="single" w:color="auto"/>
          <w:color w:val="auto"/>
        </w:rPr>
        <w:t>Exhibit E.</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BioXcel Indemnitees</w:t>
      </w:r>
      <w:r>
        <w:rPr>
          <w:rFonts w:ascii="Arial" w:cs="Arial" w:eastAsia="Arial" w:hAnsi="Arial"/>
          <w:sz w:val="19"/>
          <w:szCs w:val="19"/>
          <w:color w:val="auto"/>
        </w:rPr>
        <w:t>” shall have the meaning set forth in Section 11.1 of this Agreement.</w:t>
      </w:r>
    </w:p>
    <w:p>
      <w:pPr>
        <w:spacing w:after="0" w:line="206"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22"/>
          <w:szCs w:val="22"/>
          <w:b w:val="1"/>
          <w:bCs w:val="1"/>
          <w:color w:val="auto"/>
        </w:rPr>
        <w:t xml:space="preserve">1.10 </w:t>
      </w:r>
      <w:r>
        <w:rPr>
          <w:rFonts w:ascii="Arial" w:cs="Arial" w:eastAsia="Arial" w:hAnsi="Arial"/>
          <w:sz w:val="22"/>
          <w:szCs w:val="22"/>
          <w:color w:val="auto"/>
        </w:rPr>
        <w:t>“</w:t>
      </w:r>
      <w:r>
        <w:rPr>
          <w:rFonts w:ascii="Arial" w:cs="Arial" w:eastAsia="Arial" w:hAnsi="Arial"/>
          <w:sz w:val="22"/>
          <w:szCs w:val="22"/>
          <w:b w:val="1"/>
          <w:bCs w:val="1"/>
          <w:i w:val="1"/>
          <w:iCs w:val="1"/>
          <w:color w:val="auto"/>
        </w:rPr>
        <w:t>BioXcel Independent Patent Rights</w:t>
      </w:r>
      <w:r>
        <w:rPr>
          <w:rFonts w:ascii="Arial" w:cs="Arial" w:eastAsia="Arial" w:hAnsi="Arial"/>
          <w:sz w:val="22"/>
          <w:szCs w:val="22"/>
          <w:color w:val="auto"/>
        </w:rPr>
        <w:t>” shall mean any Patent Rights Controlled by BioXcel (or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as of the Effective Date or during the Term through efforts outside of this Agreement that Cover the use (whether alone or in combination with other agents), manufacture, formulation, or composition of matter of the BioXcel Compound, but which do not Cover any Collaboration Invention.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71" w:name="page72"/>
    <w:bookmarkEnd w:id="71"/>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1.11 </w:t>
      </w:r>
      <w:r>
        <w:rPr>
          <w:rFonts w:ascii="Arial" w:cs="Arial" w:eastAsia="Arial" w:hAnsi="Arial"/>
          <w:sz w:val="22"/>
          <w:szCs w:val="22"/>
          <w:color w:val="auto"/>
        </w:rPr>
        <w:t>“</w:t>
      </w:r>
      <w:r>
        <w:rPr>
          <w:rFonts w:ascii="Arial" w:cs="Arial" w:eastAsia="Arial" w:hAnsi="Arial"/>
          <w:sz w:val="22"/>
          <w:szCs w:val="22"/>
          <w:b w:val="1"/>
          <w:bCs w:val="1"/>
          <w:i w:val="1"/>
          <w:iCs w:val="1"/>
          <w:color w:val="auto"/>
        </w:rPr>
        <w:t>BioXcel Regulatory Documentation</w:t>
      </w:r>
      <w:r>
        <w:rPr>
          <w:rFonts w:ascii="Arial" w:cs="Arial" w:eastAsia="Arial" w:hAnsi="Arial"/>
          <w:sz w:val="22"/>
          <w:szCs w:val="22"/>
          <w:color w:val="auto"/>
        </w:rPr>
        <w:t>” shall mean any Regulatory Documentation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BioXcel Compound that exists as of the Effective Date or that is created during the Term through efforts outside this Agreement.</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BioXcel Study Data</w:t>
      </w:r>
      <w:r>
        <w:rPr>
          <w:rFonts w:ascii="Arial" w:cs="Arial" w:eastAsia="Arial" w:hAnsi="Arial"/>
          <w:sz w:val="19"/>
          <w:szCs w:val="19"/>
          <w:color w:val="auto"/>
        </w:rPr>
        <w:t>” shall have the meaning set forth in Section 8.2 of this Agreement.</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b w:val="1"/>
          <w:bCs w:val="1"/>
          <w:i w:val="1"/>
          <w:iCs w:val="1"/>
          <w:color w:val="auto"/>
        </w:rPr>
        <w:t>BioXcel Study Invention</w:t>
      </w:r>
      <w:r>
        <w:rPr>
          <w:rFonts w:ascii="Arial" w:cs="Arial" w:eastAsia="Arial" w:hAnsi="Arial"/>
          <w:sz w:val="19"/>
          <w:szCs w:val="19"/>
          <w:color w:val="auto"/>
        </w:rPr>
        <w:t>” shall mean any invention or Technology that would be a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Invention (except for the exclusion set forth therein) </w:t>
      </w:r>
      <w:r>
        <w:rPr>
          <w:rFonts w:ascii="Arial" w:cs="Arial" w:eastAsia="Arial" w:hAnsi="Arial"/>
          <w:sz w:val="19"/>
          <w:szCs w:val="19"/>
          <w:i w:val="1"/>
          <w:iCs w:val="1"/>
          <w:color w:val="auto"/>
        </w:rPr>
        <w:t>and</w:t>
      </w:r>
      <w:r>
        <w:rPr>
          <w:rFonts w:ascii="Arial" w:cs="Arial" w:eastAsia="Arial" w:hAnsi="Arial"/>
          <w:sz w:val="19"/>
          <w:szCs w:val="19"/>
          <w:color w:val="auto"/>
        </w:rPr>
        <w:t xml:space="preserve"> that relates to (a) the composition of matter of the BioXcel Compound (and not the Nektar Compound or the CPI Compound), (b) method of manufacture or formulation of the BioXcel Compound (and not the Nektar Compound or the CPI Compound) as a single agent, or (c) a method of use of the BioXcel Compound (and not the Nektar Compound) as a monotherapy or in combination with the CPI Compound (and not the Nektar Compound) or other agents, antibodies or compounds (other than a Collaboration Invention comprising, whether generically or specifically, the use of the CPI Compound (and/or any other antibodies that are designed to selectively bind to PD-1 or PD-L1), the Nektar Compound (and/or any other IL2-based CD122 agonist), and a BioXcel Compound (and/or any other inhibitor of dipeptidyl peptidase 8-9 (DPP8-9) and fibroblast activation protein (FAP))).</w:t>
      </w:r>
    </w:p>
    <w:p>
      <w:pPr>
        <w:spacing w:after="0" w:line="1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i w:val="1"/>
          <w:iCs w:val="1"/>
          <w:color w:val="auto"/>
        </w:rPr>
        <w:t>BioXcel Study Patent Rights</w:t>
      </w:r>
      <w:r>
        <w:rPr>
          <w:rFonts w:ascii="Arial" w:cs="Arial" w:eastAsia="Arial" w:hAnsi="Arial"/>
          <w:sz w:val="21"/>
          <w:szCs w:val="21"/>
          <w:color w:val="auto"/>
        </w:rPr>
        <w:t>” shall mean any Patent Rights that are Controlled by BioXcel and</w:t>
      </w:r>
      <w:r>
        <w:rPr>
          <w:rFonts w:ascii="Arial" w:cs="Arial" w:eastAsia="Arial" w:hAnsi="Arial"/>
          <w:sz w:val="21"/>
          <w:szCs w:val="21"/>
          <w:b w:val="1"/>
          <w:bCs w:val="1"/>
          <w:color w:val="auto"/>
        </w:rPr>
        <w:t xml:space="preserve"> </w:t>
      </w:r>
      <w:r>
        <w:rPr>
          <w:rFonts w:ascii="Arial" w:cs="Arial" w:eastAsia="Arial" w:hAnsi="Arial"/>
          <w:sz w:val="21"/>
          <w:szCs w:val="21"/>
          <w:color w:val="auto"/>
        </w:rPr>
        <w:t>Cover any BioXcel Study Invention (and not a Nektar Study Invention or a Combined Therapy Trial Invention) or BioXcel Study Data, excluding BioXcel Independent Patent Rights and BioXcel Technology. For avoidance of doubt, any Patent Rights that Cover both (x) a BioXcel Study Invention and (y) any other type of Collaboration Invention are included within the Combined Therapy Patent Rights.</w:t>
      </w:r>
    </w:p>
    <w:p>
      <w:pPr>
        <w:spacing w:after="0" w:line="16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i w:val="1"/>
          <w:iCs w:val="1"/>
          <w:color w:val="auto"/>
        </w:rPr>
        <w:t>BioXcel Technology</w:t>
      </w:r>
      <w:r>
        <w:rPr>
          <w:rFonts w:ascii="Arial" w:cs="Arial" w:eastAsia="Arial" w:hAnsi="Arial"/>
          <w:sz w:val="22"/>
          <w:szCs w:val="22"/>
          <w:color w:val="auto"/>
        </w:rPr>
        <w:t>” shall mean all Technology Controlled by BioXcel (or its Affiliates)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through efforts outside of this Agreement related to the BioXcel Compound or the Combined Therapy and necessary for the conduct of the Combined Therapy Trials. For clarity, BioXcel Technology does not include (a) Collaboration Inventions, (b) Study Data, or (c) Combined Therapy Trial Regulatory Documentation.</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1.16 </w:t>
      </w:r>
      <w:r>
        <w:rPr>
          <w:rFonts w:ascii="Arial" w:cs="Arial" w:eastAsia="Arial" w:hAnsi="Arial"/>
          <w:sz w:val="22"/>
          <w:szCs w:val="22"/>
          <w:color w:val="auto"/>
        </w:rPr>
        <w:t>“</w:t>
      </w:r>
      <w:r>
        <w:rPr>
          <w:rFonts w:ascii="Arial" w:cs="Arial" w:eastAsia="Arial" w:hAnsi="Arial"/>
          <w:sz w:val="22"/>
          <w:szCs w:val="22"/>
          <w:b w:val="1"/>
          <w:bCs w:val="1"/>
          <w:i w:val="1"/>
          <w:iCs w:val="1"/>
          <w:color w:val="auto"/>
        </w:rPr>
        <w:t>BMS</w:t>
      </w:r>
      <w:r>
        <w:rPr>
          <w:rFonts w:ascii="Arial" w:cs="Arial" w:eastAsia="Arial" w:hAnsi="Arial"/>
          <w:sz w:val="22"/>
          <w:szCs w:val="22"/>
          <w:color w:val="auto"/>
        </w:rPr>
        <w:t>” shall mean Bristol-Meyers Squibb Company, a Delaware corporation, headquartered at 345</w:t>
      </w:r>
      <w:r>
        <w:rPr>
          <w:rFonts w:ascii="Arial" w:cs="Arial" w:eastAsia="Arial" w:hAnsi="Arial"/>
          <w:sz w:val="22"/>
          <w:szCs w:val="22"/>
          <w:b w:val="1"/>
          <w:bCs w:val="1"/>
          <w:color w:val="auto"/>
        </w:rPr>
        <w:t xml:space="preserve"> </w:t>
      </w:r>
      <w:r>
        <w:rPr>
          <w:rFonts w:ascii="Arial" w:cs="Arial" w:eastAsia="Arial" w:hAnsi="Arial"/>
          <w:sz w:val="22"/>
          <w:szCs w:val="22"/>
          <w:color w:val="auto"/>
        </w:rPr>
        <w:t>Park Avenue, New York, New York 10154.</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1.17 </w:t>
      </w:r>
      <w:r>
        <w:rPr>
          <w:rFonts w:ascii="Arial" w:cs="Arial" w:eastAsia="Arial" w:hAnsi="Arial"/>
          <w:sz w:val="22"/>
          <w:szCs w:val="22"/>
          <w:color w:val="auto"/>
        </w:rPr>
        <w:t>“</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shall mean a day other than Saturday, Sunday or any day on which commercial</w:t>
      </w:r>
      <w:r>
        <w:rPr>
          <w:rFonts w:ascii="Arial" w:cs="Arial" w:eastAsia="Arial" w:hAnsi="Arial"/>
          <w:sz w:val="22"/>
          <w:szCs w:val="22"/>
          <w:b w:val="1"/>
          <w:bCs w:val="1"/>
          <w:color w:val="auto"/>
        </w:rPr>
        <w:t xml:space="preserve"> </w:t>
      </w:r>
      <w:r>
        <w:rPr>
          <w:rFonts w:ascii="Arial" w:cs="Arial" w:eastAsia="Arial" w:hAnsi="Arial"/>
          <w:sz w:val="22"/>
          <w:szCs w:val="22"/>
          <w:color w:val="auto"/>
        </w:rPr>
        <w:t>banks located in New York, NY are authorized or obligated by Applicable Law to close.</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i w:val="1"/>
          <w:iCs w:val="1"/>
          <w:color w:val="auto"/>
        </w:rPr>
        <w:t>Clinical Hold</w:t>
      </w:r>
      <w:r>
        <w:rPr>
          <w:rFonts w:ascii="Arial" w:cs="Arial" w:eastAsia="Arial" w:hAnsi="Arial"/>
          <w:sz w:val="22"/>
          <w:szCs w:val="22"/>
          <w:color w:val="auto"/>
        </w:rPr>
        <w:t>” shall mean (i) an order issued by the FDA to a Party pursuant to 21 CFR §312.42 to</w:t>
      </w:r>
      <w:r>
        <w:rPr>
          <w:rFonts w:ascii="Arial" w:cs="Arial" w:eastAsia="Arial" w:hAnsi="Arial"/>
          <w:sz w:val="22"/>
          <w:szCs w:val="22"/>
          <w:b w:val="1"/>
          <w:bCs w:val="1"/>
          <w:color w:val="auto"/>
        </w:rPr>
        <w:t xml:space="preserve"> </w:t>
      </w:r>
      <w:r>
        <w:rPr>
          <w:rFonts w:ascii="Arial" w:cs="Arial" w:eastAsia="Arial" w:hAnsi="Arial"/>
          <w:sz w:val="22"/>
          <w:szCs w:val="22"/>
          <w:color w:val="auto"/>
        </w:rPr>
        <w:t>delay a proposed clinical investigation or to suspend an ongoing clinical investigation of the Combined Therapy or such Party’s Single Agent Compound in the United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2" w:name="page73"/>
    <w:bookmarkEnd w:id="7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States or (ii) an equivalent order to that set forth in (i) issued by a Regulatory Authority other than the FDA in any other country or group of countries.</w:t>
      </w:r>
    </w:p>
    <w:p>
      <w:pPr>
        <w:spacing w:after="0" w:line="16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1.19 </w:t>
      </w:r>
      <w:r>
        <w:rPr>
          <w:rFonts w:ascii="Arial" w:cs="Arial" w:eastAsia="Arial" w:hAnsi="Arial"/>
          <w:sz w:val="19"/>
          <w:szCs w:val="19"/>
          <w:color w:val="auto"/>
        </w:rPr>
        <w:t>“</w:t>
      </w:r>
      <w:r>
        <w:rPr>
          <w:rFonts w:ascii="Arial" w:cs="Arial" w:eastAsia="Arial" w:hAnsi="Arial"/>
          <w:sz w:val="19"/>
          <w:szCs w:val="19"/>
          <w:b w:val="1"/>
          <w:bCs w:val="1"/>
          <w:i w:val="1"/>
          <w:iCs w:val="1"/>
          <w:color w:val="auto"/>
        </w:rPr>
        <w:t>Collaboration Invention</w:t>
      </w:r>
      <w:r>
        <w:rPr>
          <w:rFonts w:ascii="Arial" w:cs="Arial" w:eastAsia="Arial" w:hAnsi="Arial"/>
          <w:sz w:val="19"/>
          <w:szCs w:val="19"/>
          <w:color w:val="auto"/>
        </w:rPr>
        <w:t>” shall mean any invention or Technology, whether or not patentable, that</w:t>
      </w:r>
      <w:r>
        <w:rPr>
          <w:rFonts w:ascii="Arial" w:cs="Arial" w:eastAsia="Arial" w:hAnsi="Arial"/>
          <w:sz w:val="19"/>
          <w:szCs w:val="19"/>
          <w:b w:val="1"/>
          <w:bCs w:val="1"/>
          <w:color w:val="auto"/>
        </w:rPr>
        <w:t xml:space="preserve"> </w:t>
      </w:r>
      <w:r>
        <w:rPr>
          <w:rFonts w:ascii="Arial" w:cs="Arial" w:eastAsia="Arial" w:hAnsi="Arial"/>
          <w:sz w:val="19"/>
          <w:szCs w:val="19"/>
          <w:color w:val="auto"/>
        </w:rPr>
        <w:t>is made, conceived, or first actually reduced to practice by or on behalf of a Party, or by or on behalf of the Parties together (including by a Third Party in the performance of the Combined Therapy Trial), in the performance of the Combined Therapy Trials, Statistical Analysis Plan or Bioanalysis Plan to be conducted under this Agreement, but excluding any Study Data, or any BioXcel Study Invention or Nektar Study Invention.</w:t>
      </w:r>
    </w:p>
    <w:p>
      <w:pPr>
        <w:spacing w:after="0" w:line="1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1.20 </w:t>
      </w:r>
      <w:r>
        <w:rPr>
          <w:rFonts w:ascii="Arial" w:cs="Arial" w:eastAsia="Arial" w:hAnsi="Arial"/>
          <w:sz w:val="22"/>
          <w:szCs w:val="22"/>
          <w:color w:val="auto"/>
        </w:rPr>
        <w:t>“</w:t>
      </w:r>
      <w:r>
        <w:rPr>
          <w:rFonts w:ascii="Arial" w:cs="Arial" w:eastAsia="Arial" w:hAnsi="Arial"/>
          <w:sz w:val="22"/>
          <w:szCs w:val="22"/>
          <w:b w:val="1"/>
          <w:bCs w:val="1"/>
          <w:i w:val="1"/>
          <w:iCs w:val="1"/>
          <w:color w:val="auto"/>
        </w:rPr>
        <w:t>Combined Therapy</w:t>
      </w:r>
      <w:r>
        <w:rPr>
          <w:rFonts w:ascii="Arial" w:cs="Arial" w:eastAsia="Arial" w:hAnsi="Arial"/>
          <w:sz w:val="22"/>
          <w:szCs w:val="22"/>
          <w:color w:val="auto"/>
        </w:rPr>
        <w:t>” shall mean a therapy using the BioXcel Compound, the Nektar Compound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CPI Compound in combination use as individual formulations, for use in the Field, with or without another agent.</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Combined Therapy IND</w:t>
      </w:r>
      <w:r>
        <w:rPr>
          <w:rFonts w:ascii="Arial" w:cs="Arial" w:eastAsia="Arial" w:hAnsi="Arial"/>
          <w:sz w:val="19"/>
          <w:szCs w:val="19"/>
          <w:color w:val="auto"/>
        </w:rPr>
        <w:t>” shall have the meaning set forth in Section 2.1(b).</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i w:val="1"/>
          <w:iCs w:val="1"/>
          <w:color w:val="auto"/>
        </w:rPr>
        <w:t>Combined Therapy Trial Invention(s)</w:t>
      </w:r>
      <w:r>
        <w:rPr>
          <w:rFonts w:ascii="Arial" w:cs="Arial" w:eastAsia="Arial" w:hAnsi="Arial"/>
          <w:sz w:val="22"/>
          <w:szCs w:val="22"/>
          <w:color w:val="auto"/>
        </w:rPr>
        <w:t>” shall mean all Collaboration Inventions that are not</w:t>
      </w:r>
      <w:r>
        <w:rPr>
          <w:rFonts w:ascii="Arial" w:cs="Arial" w:eastAsia="Arial" w:hAnsi="Arial"/>
          <w:sz w:val="22"/>
          <w:szCs w:val="22"/>
          <w:b w:val="1"/>
          <w:bCs w:val="1"/>
          <w:color w:val="auto"/>
        </w:rPr>
        <w:t xml:space="preserve"> </w:t>
      </w:r>
      <w:r>
        <w:rPr>
          <w:rFonts w:ascii="Arial" w:cs="Arial" w:eastAsia="Arial" w:hAnsi="Arial"/>
          <w:sz w:val="22"/>
          <w:szCs w:val="22"/>
          <w:color w:val="auto"/>
        </w:rPr>
        <w:t>BioXcel Study Inventions or Nektar Study Inventions. For clarity, Combined Therapy Trial Inventions include any Collaboration Invention comprising, whether generically or specifically, the use of both the Nektar Compound (and/or any other inhibitors of dipeptidyl peptidase 8-9 (DPP8-9) and fibroblast activation protein (FAP)) and a BioXcel Compound (and/or any other IL2-based CD122 agonist), and optionally, the CPI Compound (and/or any other checkpoint inhibitor).</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w:t>
      </w:r>
      <w:r>
        <w:rPr>
          <w:rFonts w:ascii="Arial" w:cs="Arial" w:eastAsia="Arial" w:hAnsi="Arial"/>
          <w:sz w:val="22"/>
          <w:szCs w:val="22"/>
          <w:b w:val="1"/>
          <w:bCs w:val="1"/>
          <w:i w:val="1"/>
          <w:iCs w:val="1"/>
          <w:color w:val="auto"/>
        </w:rPr>
        <w:t>Combined Therapy Patent Right(s)</w:t>
      </w:r>
      <w:r>
        <w:rPr>
          <w:rFonts w:ascii="Arial" w:cs="Arial" w:eastAsia="Arial" w:hAnsi="Arial"/>
          <w:sz w:val="22"/>
          <w:szCs w:val="22"/>
          <w:color w:val="auto"/>
        </w:rPr>
        <w:t>” shall mean any Patent Rights that are Controlled by either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Party that Cover any Combined Therapy Trial Invention or Combined Therapy Study Data, excluding Nektar Independent Patent Rights or BioXcel Independent Patent Rights.</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Combined Therapy Study Data</w:t>
      </w:r>
      <w:r>
        <w:rPr>
          <w:rFonts w:ascii="Arial" w:cs="Arial" w:eastAsia="Arial" w:hAnsi="Arial"/>
          <w:sz w:val="19"/>
          <w:szCs w:val="19"/>
          <w:color w:val="auto"/>
        </w:rPr>
        <w:t>” shall have the meaning set forth in Section 8.2 of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1.25 </w:t>
      </w:r>
      <w:r>
        <w:rPr>
          <w:rFonts w:ascii="Arial" w:cs="Arial" w:eastAsia="Arial" w:hAnsi="Arial"/>
          <w:sz w:val="22"/>
          <w:szCs w:val="22"/>
          <w:color w:val="auto"/>
        </w:rPr>
        <w:t>“</w:t>
      </w:r>
      <w:r>
        <w:rPr>
          <w:rFonts w:ascii="Arial" w:cs="Arial" w:eastAsia="Arial" w:hAnsi="Arial"/>
          <w:sz w:val="22"/>
          <w:szCs w:val="22"/>
          <w:b w:val="1"/>
          <w:bCs w:val="1"/>
          <w:i w:val="1"/>
          <w:iCs w:val="1"/>
          <w:color w:val="auto"/>
        </w:rPr>
        <w:t>Combined Therapy Trial</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Combined Therapy Trials</w:t>
      </w:r>
      <w:r>
        <w:rPr>
          <w:rFonts w:ascii="Arial" w:cs="Arial" w:eastAsia="Arial" w:hAnsi="Arial"/>
          <w:sz w:val="22"/>
          <w:szCs w:val="22"/>
          <w:color w:val="auto"/>
        </w:rPr>
        <w:t>” shall have the meaning set forth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2.1(a) of this Agreement.</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i w:val="1"/>
          <w:iCs w:val="1"/>
          <w:color w:val="auto"/>
        </w:rPr>
        <w:t>Combined Therapy Trial Regulatory Documentation</w:t>
      </w:r>
      <w:r>
        <w:rPr>
          <w:rFonts w:ascii="Arial" w:cs="Arial" w:eastAsia="Arial" w:hAnsi="Arial"/>
          <w:sz w:val="22"/>
          <w:szCs w:val="22"/>
          <w:color w:val="auto"/>
        </w:rPr>
        <w:t>” shall mean any Regulatory Documentation</w:t>
      </w:r>
      <w:r>
        <w:rPr>
          <w:rFonts w:ascii="Arial" w:cs="Arial" w:eastAsia="Arial" w:hAnsi="Arial"/>
          <w:sz w:val="22"/>
          <w:szCs w:val="22"/>
          <w:b w:val="1"/>
          <w:bCs w:val="1"/>
          <w:color w:val="auto"/>
        </w:rPr>
        <w:t xml:space="preserve"> </w:t>
      </w:r>
      <w:r>
        <w:rPr>
          <w:rFonts w:ascii="Arial" w:cs="Arial" w:eastAsia="Arial" w:hAnsi="Arial"/>
          <w:sz w:val="22"/>
          <w:szCs w:val="22"/>
          <w:color w:val="auto"/>
        </w:rPr>
        <w:t>to be submitted for the conduct of the Combined Therapy Trial, but excluding (a) any BioXcel Regulatory Documentation and (b) any Nektar Regulatory Documentation.</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i w:val="1"/>
          <w:iCs w:val="1"/>
          <w:color w:val="auto"/>
        </w:rPr>
        <w:t>Commercially Reasonable Efforts</w:t>
      </w:r>
      <w:r>
        <w:rPr>
          <w:rFonts w:ascii="Arial" w:cs="Arial" w:eastAsia="Arial" w:hAnsi="Arial"/>
          <w:sz w:val="22"/>
          <w:szCs w:val="22"/>
          <w:color w:val="auto"/>
        </w:rPr>
        <w:t>” means: (a) the carrying out of a Party’s obligations or tasks,</w:t>
      </w:r>
      <w:r>
        <w:rPr>
          <w:rFonts w:ascii="Arial" w:cs="Arial" w:eastAsia="Arial" w:hAnsi="Arial"/>
          <w:sz w:val="22"/>
          <w:szCs w:val="22"/>
          <w:b w:val="1"/>
          <w:bCs w:val="1"/>
          <w:color w:val="auto"/>
        </w:rPr>
        <w:t xml:space="preserve"> </w:t>
      </w:r>
      <w:r>
        <w:rPr>
          <w:rFonts w:ascii="Arial" w:cs="Arial" w:eastAsia="Arial" w:hAnsi="Arial"/>
          <w:sz w:val="22"/>
          <w:szCs w:val="22"/>
          <w:color w:val="auto"/>
        </w:rPr>
        <w:t>other than as set forth in clause (b), with a level of efforts and resources consistent with the commercially reasonable practices normally devoted by a similarly situated company, subject to and in accordance with the terms and conditions of this Agreement; and (b) where applied to a Party’s efforts to conduct any Combined Therapy Trial under the applicable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3" w:name="page74"/>
    <w:bookmarkEnd w:id="73"/>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Protocol, the level of effort and resources normally devoted by such Party to conduct a clinical trial for a biopharmaceutical product or compound that is owned by it or to which it has rights, which is of similar market potential, profit potential or strategic value and at a similar stage in its development or product life based on conditions then prevailing.</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have the meaning set forth in Section 9.1 of this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i w:val="1"/>
          <w:iCs w:val="1"/>
          <w:color w:val="auto"/>
        </w:rPr>
        <w:t>Control</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Controlled</w:t>
      </w:r>
      <w:r>
        <w:rPr>
          <w:rFonts w:ascii="Arial" w:cs="Arial" w:eastAsia="Arial" w:hAnsi="Arial"/>
          <w:sz w:val="22"/>
          <w:szCs w:val="22"/>
          <w:color w:val="auto"/>
        </w:rPr>
        <w:t>” shall mean, with respect to particular information or intellectual property,</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applicable Party owns or has a license to such information or intellectual property and has the ability to grant a right, license or sublicense to the other Party as provided for herein without violating the terms of any agreement or other arrangement with any Third Party.</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1.30 </w:t>
      </w:r>
      <w:r>
        <w:rPr>
          <w:rFonts w:ascii="Arial" w:cs="Arial" w:eastAsia="Arial" w:hAnsi="Arial"/>
          <w:sz w:val="21"/>
          <w:szCs w:val="21"/>
          <w:color w:val="auto"/>
        </w:rPr>
        <w:t>“</w:t>
      </w:r>
      <w:r>
        <w:rPr>
          <w:rFonts w:ascii="Arial" w:cs="Arial" w:eastAsia="Arial" w:hAnsi="Arial"/>
          <w:sz w:val="21"/>
          <w:szCs w:val="21"/>
          <w:b w:val="1"/>
          <w:bCs w:val="1"/>
          <w:i w:val="1"/>
          <w:iCs w:val="1"/>
          <w:color w:val="auto"/>
        </w:rPr>
        <w:t>Cover</w:t>
      </w:r>
      <w:r>
        <w:rPr>
          <w:rFonts w:ascii="Arial" w:cs="Arial" w:eastAsia="Arial" w:hAnsi="Arial"/>
          <w:sz w:val="21"/>
          <w:szCs w:val="21"/>
          <w:color w:val="auto"/>
        </w:rPr>
        <w:t>” means, with respect to a Patent, that, but for rights granted to a Person under such Patent,</w:t>
      </w:r>
      <w:r>
        <w:rPr>
          <w:rFonts w:ascii="Arial" w:cs="Arial" w:eastAsia="Arial" w:hAnsi="Arial"/>
          <w:sz w:val="21"/>
          <w:szCs w:val="21"/>
          <w:b w:val="1"/>
          <w:bCs w:val="1"/>
          <w:color w:val="auto"/>
        </w:rPr>
        <w:t xml:space="preserve"> </w:t>
      </w:r>
      <w:r>
        <w:rPr>
          <w:rFonts w:ascii="Arial" w:cs="Arial" w:eastAsia="Arial" w:hAnsi="Arial"/>
          <w:sz w:val="21"/>
          <w:szCs w:val="21"/>
          <w:color w:val="auto"/>
        </w:rPr>
        <w:t>the practice by such Person of an invention described in such Patent would infringe a claim included in such Patent, or in the case of a Patent that is a patent application, would infringe a claim in such patent application if it were to issue as a patent. “</w:t>
      </w:r>
      <w:r>
        <w:rPr>
          <w:rFonts w:ascii="Arial" w:cs="Arial" w:eastAsia="Arial" w:hAnsi="Arial"/>
          <w:sz w:val="21"/>
          <w:szCs w:val="21"/>
          <w:b w:val="1"/>
          <w:bCs w:val="1"/>
          <w:i w:val="1"/>
          <w:iCs w:val="1"/>
          <w:color w:val="auto"/>
        </w:rPr>
        <w:t>Covered</w:t>
      </w:r>
      <w:r>
        <w:rPr>
          <w:rFonts w:ascii="Arial" w:cs="Arial" w:eastAsia="Arial" w:hAnsi="Arial"/>
          <w:sz w:val="21"/>
          <w:szCs w:val="21"/>
          <w:color w:val="auto"/>
        </w:rPr>
        <w:t>” or “</w:t>
      </w:r>
      <w:r>
        <w:rPr>
          <w:rFonts w:ascii="Arial" w:cs="Arial" w:eastAsia="Arial" w:hAnsi="Arial"/>
          <w:sz w:val="21"/>
          <w:szCs w:val="21"/>
          <w:b w:val="1"/>
          <w:bCs w:val="1"/>
          <w:i w:val="1"/>
          <w:iCs w:val="1"/>
          <w:color w:val="auto"/>
        </w:rPr>
        <w:t>Covering</w:t>
      </w:r>
      <w:r>
        <w:rPr>
          <w:rFonts w:ascii="Arial" w:cs="Arial" w:eastAsia="Arial" w:hAnsi="Arial"/>
          <w:sz w:val="21"/>
          <w:szCs w:val="21"/>
          <w:color w:val="auto"/>
        </w:rPr>
        <w:t>” shall have correlative meanings.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i w:val="1"/>
          <w:iCs w:val="1"/>
          <w:color w:val="auto"/>
        </w:rPr>
        <w:t>CPI Compound</w:t>
      </w:r>
      <w:r>
        <w:rPr>
          <w:rFonts w:ascii="Arial" w:cs="Arial" w:eastAsia="Arial" w:hAnsi="Arial"/>
          <w:sz w:val="22"/>
          <w:szCs w:val="22"/>
          <w:color w:val="auto"/>
        </w:rPr>
        <w:t>” means a form of cancer treatment which blocks inhibitory checkpoints in the</w:t>
      </w:r>
      <w:r>
        <w:rPr>
          <w:rFonts w:ascii="Arial" w:cs="Arial" w:eastAsia="Arial" w:hAnsi="Arial"/>
          <w:sz w:val="22"/>
          <w:szCs w:val="22"/>
          <w:b w:val="1"/>
          <w:bCs w:val="1"/>
          <w:color w:val="auto"/>
        </w:rPr>
        <w:t xml:space="preserve"> </w:t>
      </w:r>
      <w:r>
        <w:rPr>
          <w:rFonts w:ascii="Arial" w:cs="Arial" w:eastAsia="Arial" w:hAnsi="Arial"/>
          <w:sz w:val="22"/>
          <w:szCs w:val="22"/>
          <w:color w:val="auto"/>
        </w:rPr>
        <w:t>immune system thereby restoring immune system function.</w:t>
      </w:r>
    </w:p>
    <w:p>
      <w:pPr>
        <w:spacing w:after="0" w:line="16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i w:val="1"/>
          <w:iCs w:val="1"/>
          <w:color w:val="auto"/>
        </w:rPr>
        <w:t>CRO</w:t>
      </w:r>
      <w:r>
        <w:rPr>
          <w:rFonts w:ascii="Arial" w:cs="Arial" w:eastAsia="Arial" w:hAnsi="Arial"/>
          <w:sz w:val="19"/>
          <w:szCs w:val="19"/>
          <w:color w:val="auto"/>
        </w:rPr>
        <w:t>” means any Third Party contract research organization used to conduct a Combined Therapy</w:t>
      </w:r>
      <w:r>
        <w:rPr>
          <w:rFonts w:ascii="Arial" w:cs="Arial" w:eastAsia="Arial" w:hAnsi="Arial"/>
          <w:sz w:val="19"/>
          <w:szCs w:val="19"/>
          <w:b w:val="1"/>
          <w:bCs w:val="1"/>
          <w:color w:val="auto"/>
        </w:rPr>
        <w:t xml:space="preserve"> </w:t>
      </w:r>
      <w:r>
        <w:rPr>
          <w:rFonts w:ascii="Arial" w:cs="Arial" w:eastAsia="Arial" w:hAnsi="Arial"/>
          <w:sz w:val="19"/>
          <w:szCs w:val="19"/>
          <w:color w:val="auto"/>
        </w:rPr>
        <w:t>Trial, including laboratories and Third Parties used to maintain the Global Safety Database from a Combined Therapy Trial, but, for clarity, excluding clinical trial sites and any Third Parties who are individuals.</w:t>
      </w:r>
    </w:p>
    <w:p>
      <w:pPr>
        <w:spacing w:after="0" w:line="12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1.33 </w:t>
      </w:r>
      <w:r>
        <w:rPr>
          <w:rFonts w:ascii="Arial" w:cs="Arial" w:eastAsia="Arial" w:hAnsi="Arial"/>
          <w:sz w:val="22"/>
          <w:szCs w:val="22"/>
          <w:color w:val="auto"/>
        </w:rPr>
        <w:t>“</w:t>
      </w:r>
      <w:r>
        <w:rPr>
          <w:rFonts w:ascii="Arial" w:cs="Arial" w:eastAsia="Arial" w:hAnsi="Arial"/>
          <w:sz w:val="22"/>
          <w:szCs w:val="22"/>
          <w:b w:val="1"/>
          <w:bCs w:val="1"/>
          <w:i w:val="1"/>
          <w:iCs w:val="1"/>
          <w:color w:val="auto"/>
        </w:rPr>
        <w:t>Database Lock</w:t>
      </w:r>
      <w:r>
        <w:rPr>
          <w:rFonts w:ascii="Arial" w:cs="Arial" w:eastAsia="Arial" w:hAnsi="Arial"/>
          <w:sz w:val="22"/>
          <w:szCs w:val="22"/>
          <w:color w:val="auto"/>
        </w:rPr>
        <w:t>” means, with respect to each Combined Therapy Trial, such actions as are taken</w:t>
      </w:r>
      <w:r>
        <w:rPr>
          <w:rFonts w:ascii="Arial" w:cs="Arial" w:eastAsia="Arial" w:hAnsi="Arial"/>
          <w:sz w:val="22"/>
          <w:szCs w:val="22"/>
          <w:b w:val="1"/>
          <w:bCs w:val="1"/>
          <w:color w:val="auto"/>
        </w:rPr>
        <w:t xml:space="preserve"> </w:t>
      </w:r>
      <w:r>
        <w:rPr>
          <w:rFonts w:ascii="Arial" w:cs="Arial" w:eastAsia="Arial" w:hAnsi="Arial"/>
          <w:sz w:val="22"/>
          <w:szCs w:val="22"/>
          <w:color w:val="auto"/>
        </w:rPr>
        <w:t>with approval of the JDC to prevent any modification to the database of Study Data generated in the course of such Combined Therapy Trial.</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shall have the meaning set forth in Section 9.1 of this Agreement.</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shall have the meaning set forth in the preamble to this Agreement.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1.36 </w:t>
      </w: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partnership, limited partnership, limited liability partnership, corporation,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company, business trust, joint stock company, trust, incorporated association, joint venture or similar entity or organization.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4" w:name="page75"/>
    <w:bookmarkEnd w:id="74"/>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i w:val="1"/>
          <w:iCs w:val="1"/>
          <w:color w:val="auto"/>
        </w:rPr>
        <w:t>Executive Officers</w:t>
      </w:r>
      <w:r>
        <w:rPr>
          <w:rFonts w:ascii="Arial" w:cs="Arial" w:eastAsia="Arial" w:hAnsi="Arial"/>
          <w:sz w:val="22"/>
          <w:szCs w:val="22"/>
          <w:color w:val="auto"/>
        </w:rPr>
        <w:t>” shall mean the Chief Medical Officer of BioXcel and the Senior Vice</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Global Development &amp; Medical Affairs of Nektar (or their respective designees).</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1.38 </w:t>
      </w:r>
      <w:r>
        <w:rPr>
          <w:rFonts w:ascii="Arial" w:cs="Arial" w:eastAsia="Arial" w:hAnsi="Arial"/>
          <w:sz w:val="22"/>
          <w:szCs w:val="22"/>
          <w:color w:val="auto"/>
        </w:rPr>
        <w:t>“</w:t>
      </w:r>
      <w:r>
        <w:rPr>
          <w:rFonts w:ascii="Arial" w:cs="Arial" w:eastAsia="Arial" w:hAnsi="Arial"/>
          <w:sz w:val="22"/>
          <w:szCs w:val="22"/>
          <w:b w:val="1"/>
          <w:bCs w:val="1"/>
          <w:i w:val="1"/>
          <w:iCs w:val="1"/>
          <w:color w:val="auto"/>
        </w:rPr>
        <w:t>FDA</w:t>
      </w:r>
      <w:r>
        <w:rPr>
          <w:rFonts w:ascii="Arial" w:cs="Arial" w:eastAsia="Arial" w:hAnsi="Arial"/>
          <w:sz w:val="22"/>
          <w:szCs w:val="22"/>
          <w:color w:val="auto"/>
        </w:rPr>
        <w:t>” shall mean the United States Food and Drug Administration, or any successor agency having</w:t>
      </w:r>
      <w:r>
        <w:rPr>
          <w:rFonts w:ascii="Arial" w:cs="Arial" w:eastAsia="Arial" w:hAnsi="Arial"/>
          <w:sz w:val="22"/>
          <w:szCs w:val="22"/>
          <w:b w:val="1"/>
          <w:bCs w:val="1"/>
          <w:color w:val="auto"/>
        </w:rPr>
        <w:t xml:space="preserve"> </w:t>
      </w:r>
      <w:r>
        <w:rPr>
          <w:rFonts w:ascii="Arial" w:cs="Arial" w:eastAsia="Arial" w:hAnsi="Arial"/>
          <w:sz w:val="22"/>
          <w:szCs w:val="22"/>
          <w:color w:val="auto"/>
        </w:rPr>
        <w:t>the same or similar authority.</w:t>
      </w:r>
    </w:p>
    <w:p>
      <w:pPr>
        <w:spacing w:after="0" w:line="16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Field</w:t>
      </w:r>
      <w:r>
        <w:rPr>
          <w:rFonts w:ascii="Arial" w:cs="Arial" w:eastAsia="Arial" w:hAnsi="Arial"/>
          <w:sz w:val="19"/>
          <w:szCs w:val="19"/>
          <w:color w:val="auto"/>
        </w:rPr>
        <w:t>” shall mean treatment of patients with pancreatic cancer.</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i w:val="1"/>
          <w:iCs w:val="1"/>
          <w:color w:val="auto"/>
        </w:rPr>
        <w:t>Global Safety Database</w:t>
      </w:r>
      <w:r>
        <w:rPr>
          <w:rFonts w:ascii="Arial" w:cs="Arial" w:eastAsia="Arial" w:hAnsi="Arial"/>
          <w:sz w:val="22"/>
          <w:szCs w:val="22"/>
          <w:color w:val="auto"/>
        </w:rPr>
        <w:t>” shall mean the database containing serious adverse events, serious adverse</w:t>
      </w:r>
      <w:r>
        <w:rPr>
          <w:rFonts w:ascii="Arial" w:cs="Arial" w:eastAsia="Arial" w:hAnsi="Arial"/>
          <w:sz w:val="22"/>
          <w:szCs w:val="22"/>
          <w:b w:val="1"/>
          <w:bCs w:val="1"/>
          <w:color w:val="auto"/>
        </w:rPr>
        <w:t xml:space="preserve"> </w:t>
      </w:r>
      <w:r>
        <w:rPr>
          <w:rFonts w:ascii="Arial" w:cs="Arial" w:eastAsia="Arial" w:hAnsi="Arial"/>
          <w:sz w:val="22"/>
          <w:szCs w:val="22"/>
          <w:color w:val="auto"/>
        </w:rPr>
        <w:t>drug reactions and pregnancy reports for the Combined Therapy, and shall be the authoritative data source for regulatory reporting and responding to regulatory queries.</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1.41 </w:t>
      </w:r>
      <w:r>
        <w:rPr>
          <w:rFonts w:ascii="Arial" w:cs="Arial" w:eastAsia="Arial" w:hAnsi="Arial"/>
          <w:sz w:val="21"/>
          <w:szCs w:val="21"/>
          <w:color w:val="auto"/>
        </w:rPr>
        <w:t>“</w:t>
      </w:r>
      <w:r>
        <w:rPr>
          <w:rFonts w:ascii="Arial" w:cs="Arial" w:eastAsia="Arial" w:hAnsi="Arial"/>
          <w:sz w:val="21"/>
          <w:szCs w:val="21"/>
          <w:b w:val="1"/>
          <w:bCs w:val="1"/>
          <w:i w:val="1"/>
          <w:iCs w:val="1"/>
          <w:color w:val="auto"/>
        </w:rPr>
        <w:t>Good Clinical Practices</w:t>
      </w:r>
      <w:r>
        <w:rPr>
          <w:rFonts w:ascii="Arial" w:cs="Arial" w:eastAsia="Arial" w:hAnsi="Arial"/>
          <w:sz w:val="21"/>
          <w:szCs w:val="21"/>
          <w:color w:val="auto"/>
        </w:rPr>
        <w:t>” or “</w:t>
      </w:r>
      <w:r>
        <w:rPr>
          <w:rFonts w:ascii="Arial" w:cs="Arial" w:eastAsia="Arial" w:hAnsi="Arial"/>
          <w:sz w:val="21"/>
          <w:szCs w:val="21"/>
          <w:b w:val="1"/>
          <w:bCs w:val="1"/>
          <w:i w:val="1"/>
          <w:iCs w:val="1"/>
          <w:color w:val="auto"/>
        </w:rPr>
        <w:t>GCP</w:t>
      </w:r>
      <w:r>
        <w:rPr>
          <w:rFonts w:ascii="Arial" w:cs="Arial" w:eastAsia="Arial" w:hAnsi="Arial"/>
          <w:sz w:val="21"/>
          <w:szCs w:val="21"/>
          <w:color w:val="auto"/>
        </w:rPr>
        <w:t>” shall mean the standards, practices and procedures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the International Conference on Harmonization guidelines entitled in “Good Clinical Practice: Consolidated Guideline,” including related regulatory requirements imposed by the FDA and (as applicable) any equivalent or similar standards in jurisdictions outside the United States, to the extent that such standards are applicable in the jurisdiction in which the relevant Combined Therapy Trial is conducted or required to be followed in the jurisdiction in which Regulatory Authority approval of a product will be sought.</w:t>
      </w:r>
    </w:p>
    <w:p>
      <w:pPr>
        <w:spacing w:after="0" w:line="17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1.42 </w:t>
      </w:r>
      <w:r>
        <w:rPr>
          <w:rFonts w:ascii="Arial" w:cs="Arial" w:eastAsia="Arial" w:hAnsi="Arial"/>
          <w:sz w:val="22"/>
          <w:szCs w:val="22"/>
          <w:color w:val="auto"/>
        </w:rPr>
        <w:t>“</w:t>
      </w:r>
      <w:r>
        <w:rPr>
          <w:rFonts w:ascii="Arial" w:cs="Arial" w:eastAsia="Arial" w:hAnsi="Arial"/>
          <w:sz w:val="22"/>
          <w:szCs w:val="22"/>
          <w:b w:val="1"/>
          <w:bCs w:val="1"/>
          <w:i w:val="1"/>
          <w:iCs w:val="1"/>
          <w:color w:val="auto"/>
        </w:rPr>
        <w:t>Good Laboratory Practices</w:t>
      </w:r>
      <w:r>
        <w:rPr>
          <w:rFonts w:ascii="Arial" w:cs="Arial" w:eastAsia="Arial" w:hAnsi="Arial"/>
          <w:sz w:val="22"/>
          <w:szCs w:val="22"/>
          <w:color w:val="auto"/>
        </w:rPr>
        <w:t>” or “</w:t>
      </w:r>
      <w:r>
        <w:rPr>
          <w:rFonts w:ascii="Arial" w:cs="Arial" w:eastAsia="Arial" w:hAnsi="Arial"/>
          <w:sz w:val="22"/>
          <w:szCs w:val="22"/>
          <w:b w:val="1"/>
          <w:bCs w:val="1"/>
          <w:i w:val="1"/>
          <w:iCs w:val="1"/>
          <w:color w:val="auto"/>
        </w:rPr>
        <w:t>GLP</w:t>
      </w:r>
      <w:r>
        <w:rPr>
          <w:rFonts w:ascii="Arial" w:cs="Arial" w:eastAsia="Arial" w:hAnsi="Arial"/>
          <w:sz w:val="22"/>
          <w:szCs w:val="22"/>
          <w:color w:val="auto"/>
        </w:rPr>
        <w:t>” shall mean the regulations set forth in 21 C.F.R. Part 58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requirements expressed or implied thereunder imposed by the FDA and (as applicable) any equivalent or similar standards in jurisdictions outside the United States.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w:t>
      </w:r>
      <w:r>
        <w:rPr>
          <w:rFonts w:ascii="Arial" w:cs="Arial" w:eastAsia="Arial" w:hAnsi="Arial"/>
          <w:sz w:val="22"/>
          <w:szCs w:val="22"/>
          <w:b w:val="1"/>
          <w:bCs w:val="1"/>
          <w:i w:val="1"/>
          <w:iCs w:val="1"/>
          <w:color w:val="auto"/>
        </w:rPr>
        <w:t>Good Manufacturing Practices</w:t>
      </w:r>
      <w:r>
        <w:rPr>
          <w:rFonts w:ascii="Arial" w:cs="Arial" w:eastAsia="Arial" w:hAnsi="Arial"/>
          <w:sz w:val="22"/>
          <w:szCs w:val="22"/>
          <w:color w:val="auto"/>
        </w:rPr>
        <w:t>” or “</w:t>
      </w:r>
      <w:r>
        <w:rPr>
          <w:rFonts w:ascii="Arial" w:cs="Arial" w:eastAsia="Arial" w:hAnsi="Arial"/>
          <w:sz w:val="22"/>
          <w:szCs w:val="22"/>
          <w:b w:val="1"/>
          <w:bCs w:val="1"/>
          <w:i w:val="1"/>
          <w:iCs w:val="1"/>
          <w:color w:val="auto"/>
        </w:rPr>
        <w:t>GMP</w:t>
      </w:r>
      <w:r>
        <w:rPr>
          <w:rFonts w:ascii="Arial" w:cs="Arial" w:eastAsia="Arial" w:hAnsi="Arial"/>
          <w:sz w:val="22"/>
          <w:szCs w:val="22"/>
          <w:color w:val="auto"/>
        </w:rPr>
        <w:t>” means the regulations set forth in 21 C.F.R. Parts 210–</w:t>
      </w:r>
      <w:r>
        <w:rPr>
          <w:rFonts w:ascii="Arial" w:cs="Arial" w:eastAsia="Arial" w:hAnsi="Arial"/>
          <w:sz w:val="22"/>
          <w:szCs w:val="22"/>
          <w:b w:val="1"/>
          <w:bCs w:val="1"/>
          <w:color w:val="auto"/>
        </w:rPr>
        <w:t xml:space="preserve"> </w:t>
      </w:r>
      <w:r>
        <w:rPr>
          <w:rFonts w:ascii="Arial" w:cs="Arial" w:eastAsia="Arial" w:hAnsi="Arial"/>
          <w:sz w:val="22"/>
          <w:szCs w:val="22"/>
          <w:color w:val="auto"/>
        </w:rPr>
        <w:t>211, and the requirements thereunder imposed by the FDA, and, as applicable, any similar or equivalent regulations and requirements in jurisdictions outside the United States.</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1.44 </w:t>
      </w:r>
      <w:r>
        <w:rPr>
          <w:rFonts w:ascii="Arial" w:cs="Arial" w:eastAsia="Arial" w:hAnsi="Arial"/>
          <w:sz w:val="21"/>
          <w:szCs w:val="21"/>
          <w:color w:val="auto"/>
        </w:rPr>
        <w:t>“</w:t>
      </w:r>
      <w:r>
        <w:rPr>
          <w:rFonts w:ascii="Arial" w:cs="Arial" w:eastAsia="Arial" w:hAnsi="Arial"/>
          <w:sz w:val="21"/>
          <w:szCs w:val="21"/>
          <w:b w:val="1"/>
          <w:bCs w:val="1"/>
          <w:i w:val="1"/>
          <w:iCs w:val="1"/>
          <w:color w:val="auto"/>
        </w:rPr>
        <w:t>IND</w:t>
      </w:r>
      <w:r>
        <w:rPr>
          <w:rFonts w:ascii="Arial" w:cs="Arial" w:eastAsia="Arial" w:hAnsi="Arial"/>
          <w:sz w:val="21"/>
          <w:szCs w:val="21"/>
          <w:color w:val="auto"/>
        </w:rPr>
        <w:t>” shall mean (a) an Investigational New Drug Application as defined in the Federal Food, Drug</w:t>
      </w:r>
      <w:r>
        <w:rPr>
          <w:rFonts w:ascii="Arial" w:cs="Arial" w:eastAsia="Arial" w:hAnsi="Arial"/>
          <w:sz w:val="21"/>
          <w:szCs w:val="21"/>
          <w:b w:val="1"/>
          <w:bCs w:val="1"/>
          <w:color w:val="auto"/>
        </w:rPr>
        <w:t xml:space="preserve"> </w:t>
      </w:r>
      <w:r>
        <w:rPr>
          <w:rFonts w:ascii="Arial" w:cs="Arial" w:eastAsia="Arial" w:hAnsi="Arial"/>
          <w:sz w:val="21"/>
          <w:szCs w:val="21"/>
          <w:color w:val="auto"/>
        </w:rPr>
        <w:t>and Cosmetic Act, as amended, and regulations promulgated thereunder, or any successor application or procedure required to initiate clinical testing of a drug in humans in the United States; (b) a counterpart of such an Investigational New Drug Application that is required in any other country before beginning clinical testing of a drug in humans in such country, including, for clarity, a “Clinical Trial Application” in the European Union; and (c) all supplements and amendments to any of the foregoing.</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Initiation</w:t>
      </w:r>
      <w:r>
        <w:rPr>
          <w:rFonts w:ascii="Arial" w:cs="Arial" w:eastAsia="Arial" w:hAnsi="Arial"/>
          <w:sz w:val="19"/>
          <w:szCs w:val="19"/>
          <w:color w:val="auto"/>
        </w:rPr>
        <w:t>” shall mean dosing of the first patient in any Combined Therapy Trial.</w:t>
      </w:r>
    </w:p>
    <w:p>
      <w:pPr>
        <w:spacing w:after="0" w:line="2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1.46 </w:t>
      </w:r>
      <w:r>
        <w:rPr>
          <w:rFonts w:ascii="Arial" w:cs="Arial" w:eastAsia="Arial" w:hAnsi="Arial"/>
          <w:sz w:val="19"/>
          <w:szCs w:val="19"/>
          <w:color w:val="auto"/>
        </w:rPr>
        <w:t>“</w:t>
      </w:r>
      <w:r>
        <w:rPr>
          <w:rFonts w:ascii="Arial" w:cs="Arial" w:eastAsia="Arial" w:hAnsi="Arial"/>
          <w:sz w:val="19"/>
          <w:szCs w:val="19"/>
          <w:b w:val="1"/>
          <w:bCs w:val="1"/>
          <w:i w:val="1"/>
          <w:iCs w:val="1"/>
          <w:color w:val="auto"/>
        </w:rPr>
        <w:t>Manufacture</w:t>
      </w:r>
      <w:r>
        <w:rPr>
          <w:rFonts w:ascii="Arial" w:cs="Arial" w:eastAsia="Arial" w:hAnsi="Arial"/>
          <w:sz w:val="19"/>
          <w:szCs w:val="19"/>
          <w:color w:val="auto"/>
        </w:rPr>
        <w:t>” or “</w:t>
      </w:r>
      <w:r>
        <w:rPr>
          <w:rFonts w:ascii="Arial" w:cs="Arial" w:eastAsia="Arial" w:hAnsi="Arial"/>
          <w:sz w:val="19"/>
          <w:szCs w:val="19"/>
          <w:b w:val="1"/>
          <w:bCs w:val="1"/>
          <w:i w:val="1"/>
          <w:iCs w:val="1"/>
          <w:color w:val="auto"/>
        </w:rPr>
        <w:t>Manufacturing</w:t>
      </w:r>
      <w:r>
        <w:rPr>
          <w:rFonts w:ascii="Arial" w:cs="Arial" w:eastAsia="Arial" w:hAnsi="Arial"/>
          <w:sz w:val="19"/>
          <w:szCs w:val="19"/>
          <w:color w:val="auto"/>
        </w:rPr>
        <w:t>” shall mean manufacturing, processing, formulating, packaging,</w:t>
      </w:r>
      <w:r>
        <w:rPr>
          <w:rFonts w:ascii="Arial" w:cs="Arial" w:eastAsia="Arial" w:hAnsi="Arial"/>
          <w:sz w:val="19"/>
          <w:szCs w:val="19"/>
          <w:b w:val="1"/>
          <w:bCs w:val="1"/>
          <w:color w:val="auto"/>
        </w:rPr>
        <w:t xml:space="preserve"> </w:t>
      </w:r>
      <w:r>
        <w:rPr>
          <w:rFonts w:ascii="Arial" w:cs="Arial" w:eastAsia="Arial" w:hAnsi="Arial"/>
          <w:sz w:val="19"/>
          <w:szCs w:val="19"/>
          <w:color w:val="auto"/>
        </w:rPr>
        <w:t>labeling, holding (including storage), and quality control testing of a Single Agent Compound or the Combined Therapy, in each case so as to be suitable for use in the Combined Therapy Trials under Applicable Law.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w:t>
      </w:r>
      <w:r>
        <w:rPr>
          <w:rFonts w:ascii="Arial" w:cs="Arial" w:eastAsia="Arial" w:hAnsi="Arial"/>
          <w:sz w:val="19"/>
          <w:szCs w:val="19"/>
          <w:b w:val="1"/>
          <w:bCs w:val="1"/>
          <w:i w:val="1"/>
          <w:iCs w:val="1"/>
          <w:color w:val="auto"/>
        </w:rPr>
        <w:t>Material Safety Issue</w:t>
      </w:r>
      <w:r>
        <w:rPr>
          <w:rFonts w:ascii="Arial" w:cs="Arial" w:eastAsia="Arial" w:hAnsi="Arial"/>
          <w:sz w:val="19"/>
          <w:szCs w:val="19"/>
          <w:color w:val="auto"/>
        </w:rPr>
        <w:t>” means a Party’s good faith belief that there is an unacceptable risk for harm</w:t>
      </w:r>
      <w:r>
        <w:rPr>
          <w:rFonts w:ascii="Arial" w:cs="Arial" w:eastAsia="Arial" w:hAnsi="Arial"/>
          <w:sz w:val="19"/>
          <w:szCs w:val="19"/>
          <w:b w:val="1"/>
          <w:bCs w:val="1"/>
          <w:color w:val="auto"/>
        </w:rPr>
        <w:t xml:space="preserve"> </w:t>
      </w:r>
      <w:r>
        <w:rPr>
          <w:rFonts w:ascii="Arial" w:cs="Arial" w:eastAsia="Arial" w:hAnsi="Arial"/>
          <w:sz w:val="19"/>
          <w:szCs w:val="19"/>
          <w:color w:val="auto"/>
        </w:rPr>
        <w:t>in humans based upon: (i) pre-clinical safety data, including data from animal toxicology studies; or (ii) the observation of serious adverse effects in humans after the CPI Compound, BioXcel Compound or the Nektar Compound, either as a single agent or in combination with another pharmaceutical agent (including as the Combined Therapy), has been administered to or taken by humans, such as during the Combined Therapy Trial.</w:t>
      </w:r>
    </w:p>
    <w:p>
      <w:pPr>
        <w:spacing w:after="0" w:line="13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Nektar</w:t>
      </w:r>
      <w:r>
        <w:rPr>
          <w:rFonts w:ascii="Arial" w:cs="Arial" w:eastAsia="Arial" w:hAnsi="Arial"/>
          <w:sz w:val="19"/>
          <w:szCs w:val="19"/>
          <w:i w:val="1"/>
          <w:iCs w:val="1"/>
          <w:color w:val="auto"/>
        </w:rPr>
        <w:t>”</w:t>
      </w:r>
      <w:r>
        <w:rPr>
          <w:rFonts w:ascii="Arial" w:cs="Arial" w:eastAsia="Arial" w:hAnsi="Arial"/>
          <w:sz w:val="19"/>
          <w:szCs w:val="19"/>
          <w:color w:val="auto"/>
        </w:rPr>
        <w:t xml:space="preserve"> shall have the meaning set forth in the preamble to this Agreement.</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Nektar Compound</w:t>
      </w:r>
      <w:r>
        <w:rPr>
          <w:rFonts w:ascii="Arial" w:cs="Arial" w:eastAsia="Arial" w:hAnsi="Arial"/>
          <w:sz w:val="19"/>
          <w:szCs w:val="19"/>
          <w:i w:val="1"/>
          <w:iCs w:val="1"/>
          <w:color w:val="auto"/>
        </w:rPr>
        <w:t>”</w:t>
      </w:r>
      <w:r>
        <w:rPr>
          <w:rFonts w:ascii="Arial" w:cs="Arial" w:eastAsia="Arial" w:hAnsi="Arial"/>
          <w:sz w:val="19"/>
          <w:szCs w:val="19"/>
          <w:color w:val="auto"/>
        </w:rPr>
        <w:t xml:space="preserve"> shall mean NKTR-214, as set forth on the attached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20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Nektar Indemnitees</w:t>
      </w:r>
      <w:r>
        <w:rPr>
          <w:rFonts w:ascii="Arial" w:cs="Arial" w:eastAsia="Arial" w:hAnsi="Arial"/>
          <w:sz w:val="19"/>
          <w:szCs w:val="19"/>
          <w:i w:val="1"/>
          <w:iCs w:val="1"/>
          <w:color w:val="auto"/>
        </w:rPr>
        <w:t>”</w:t>
      </w:r>
      <w:r>
        <w:rPr>
          <w:rFonts w:ascii="Arial" w:cs="Arial" w:eastAsia="Arial" w:hAnsi="Arial"/>
          <w:sz w:val="19"/>
          <w:szCs w:val="19"/>
          <w:color w:val="auto"/>
        </w:rPr>
        <w:t xml:space="preserve"> shall have the meaning set forth in Section 11.2 of this Agreement.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i w:val="1"/>
          <w:iCs w:val="1"/>
          <w:color w:val="auto"/>
        </w:rPr>
        <w:t>Nektar Independent Patent Rights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Patent Rights Controlled by Nektar (or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as of the Effective Date or during the Term through efforts outside of this Agreement or the SCA that Cover the use (whether alone or in combination with other agents), manufacture, formulation or composition of matter of the Nektar Compound, but which do not Cover any Collaboration Invention.</w:t>
      </w:r>
    </w:p>
    <w:p>
      <w:pPr>
        <w:spacing w:after="0" w:line="16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i w:val="1"/>
          <w:iCs w:val="1"/>
          <w:color w:val="auto"/>
        </w:rPr>
        <w:t>Nektar Regulatory Documentation</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Regulatory Documentation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Nektar Compound that exists as of the Effective Date or that is created during the Term through efforts outside this Agreement.</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Nektar Study Data</w:t>
      </w:r>
      <w:r>
        <w:rPr>
          <w:rFonts w:ascii="Arial" w:cs="Arial" w:eastAsia="Arial" w:hAnsi="Arial"/>
          <w:sz w:val="19"/>
          <w:szCs w:val="19"/>
          <w:i w:val="1"/>
          <w:iCs w:val="1"/>
          <w:color w:val="auto"/>
        </w:rPr>
        <w:t>”</w:t>
      </w:r>
      <w:r>
        <w:rPr>
          <w:rFonts w:ascii="Arial" w:cs="Arial" w:eastAsia="Arial" w:hAnsi="Arial"/>
          <w:sz w:val="19"/>
          <w:szCs w:val="19"/>
          <w:color w:val="auto"/>
        </w:rPr>
        <w:t xml:space="preserve"> shall have the meaning set forth in Section 8.2 of this Agreement.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1.54 </w:t>
      </w:r>
      <w:r>
        <w:rPr>
          <w:rFonts w:ascii="Arial" w:cs="Arial" w:eastAsia="Arial" w:hAnsi="Arial"/>
          <w:sz w:val="19"/>
          <w:szCs w:val="19"/>
          <w:color w:val="auto"/>
        </w:rPr>
        <w:t>“</w:t>
      </w:r>
      <w:r>
        <w:rPr>
          <w:rFonts w:ascii="Arial" w:cs="Arial" w:eastAsia="Arial" w:hAnsi="Arial"/>
          <w:sz w:val="19"/>
          <w:szCs w:val="19"/>
          <w:b w:val="1"/>
          <w:bCs w:val="1"/>
          <w:i w:val="1"/>
          <w:iCs w:val="1"/>
          <w:color w:val="auto"/>
        </w:rPr>
        <w:t>Nektar Study Invention</w:t>
      </w:r>
      <w:r>
        <w:rPr>
          <w:rFonts w:ascii="Arial" w:cs="Arial" w:eastAsia="Arial" w:hAnsi="Arial"/>
          <w:sz w:val="19"/>
          <w:szCs w:val="19"/>
          <w:color w:val="auto"/>
        </w:rPr>
        <w:t>” shall mean any invention or Technology that would be a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Invention (except for the exclusion set forth therein) </w:t>
      </w:r>
      <w:r>
        <w:rPr>
          <w:rFonts w:ascii="Arial" w:cs="Arial" w:eastAsia="Arial" w:hAnsi="Arial"/>
          <w:sz w:val="19"/>
          <w:szCs w:val="19"/>
          <w:i w:val="1"/>
          <w:iCs w:val="1"/>
          <w:color w:val="auto"/>
        </w:rPr>
        <w:t>and</w:t>
      </w:r>
      <w:r>
        <w:rPr>
          <w:rFonts w:ascii="Arial" w:cs="Arial" w:eastAsia="Arial" w:hAnsi="Arial"/>
          <w:sz w:val="19"/>
          <w:szCs w:val="19"/>
          <w:color w:val="auto"/>
        </w:rPr>
        <w:t xml:space="preserve"> that relates to (a) the composition of matter of the Nektar Compound (and not the BioXcel Compound or CPI Compound), (b) method of manufacture or formulation of the Nektar Compound (and not the BioXcel Compound or the CPI Compound) as a single agent, and/or (c) a method of use of the Nektar Compound (and not the BioXcel Compound) as a monotherapy or in combination with the CPI Compound (and not the BioXcel Compound) or other agents, antibodies or compounds (other than a Collaboration Invention comprising, whether generically or specifically, the use of the CPI Compound (and/or any other antibodies that are designed to selectively bind to PD-1 or PD-L1), the Nektar Compound (and/or any other IL2-based CD122 agonist), and a BioXcel Compound (and/or any other inhibitor of dipeptidyl peptidase 8-9 (DPP8-9) and fibroblast activation protein (FAP))).</w:t>
      </w:r>
    </w:p>
    <w:p>
      <w:pPr>
        <w:spacing w:after="0" w:line="39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i w:val="1"/>
          <w:iCs w:val="1"/>
          <w:color w:val="auto"/>
        </w:rPr>
        <w:t>Nektar Study Patent Rights</w:t>
      </w:r>
      <w:r>
        <w:rPr>
          <w:rFonts w:ascii="Arial" w:cs="Arial" w:eastAsia="Arial" w:hAnsi="Arial"/>
          <w:sz w:val="22"/>
          <w:szCs w:val="22"/>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Patent Rights that are Controlled by Nektar and Cover</w:t>
      </w:r>
      <w:r>
        <w:rPr>
          <w:rFonts w:ascii="Arial" w:cs="Arial" w:eastAsia="Arial" w:hAnsi="Arial"/>
          <w:sz w:val="22"/>
          <w:szCs w:val="22"/>
          <w:b w:val="1"/>
          <w:bCs w:val="1"/>
          <w:color w:val="auto"/>
        </w:rPr>
        <w:t xml:space="preserve"> </w:t>
      </w:r>
      <w:r>
        <w:rPr>
          <w:rFonts w:ascii="Arial" w:cs="Arial" w:eastAsia="Arial" w:hAnsi="Arial"/>
          <w:sz w:val="22"/>
          <w:szCs w:val="22"/>
          <w:color w:val="auto"/>
        </w:rPr>
        <w:t>any Nektar Study Invention (and not a BioXcel Study Invention or Combined Therapy Trial Invention) or Nektar Study Data, excluding Nektar Independent Patent Rights and Nektar Technology. For avoidance of doubt, any such Patent Rights that Cover both (x) a Nektar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6" w:name="page77"/>
    <w:bookmarkEnd w:id="76"/>
    <w:p>
      <w:pPr>
        <w:jc w:val="both"/>
        <w:ind w:left="1" w:right="20"/>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Study Invention and (y) any other type of Collaboration Invention are included within the Combined Therapy Patent Rights.</w:t>
      </w:r>
    </w:p>
    <w:p>
      <w:pPr>
        <w:spacing w:after="0" w:line="167" w:lineRule="exact"/>
        <w:rPr>
          <w:sz w:val="20"/>
          <w:szCs w:val="20"/>
          <w:color w:val="auto"/>
        </w:rPr>
      </w:pPr>
    </w:p>
    <w:p>
      <w:pPr>
        <w:jc w:val="both"/>
        <w:ind w:left="1" w:right="20" w:firstLine="648"/>
        <w:spacing w:after="0" w:line="237"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i w:val="1"/>
          <w:iCs w:val="1"/>
          <w:color w:val="auto"/>
        </w:rPr>
        <w:t>Nektar Technology</w:t>
      </w:r>
      <w:r>
        <w:rPr>
          <w:rFonts w:ascii="Arial" w:cs="Arial" w:eastAsia="Arial" w:hAnsi="Arial"/>
          <w:sz w:val="22"/>
          <w:szCs w:val="22"/>
          <w:color w:val="auto"/>
        </w:rPr>
        <w:t>” shall mean all Technology Controlled by Nektar (or its Affiliates)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Date or during the Term through efforts outside of this Agreement related to the Nektar Compound or the Combined Therapy and necessary for the conduct of the Combined Therapy Trials. For clarity, Nektar Technology does not include (a) Collaboration Inventions, (b) Study Data, or (c) Combined Therapy Trial Regulatory Documentation.</w:t>
      </w:r>
    </w:p>
    <w:p>
      <w:pPr>
        <w:spacing w:after="0" w:line="183"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or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shall have the meaning set forth in the preamble to this Agreement.</w:t>
      </w:r>
    </w:p>
    <w:p>
      <w:pPr>
        <w:spacing w:after="0" w:line="206" w:lineRule="exact"/>
        <w:rPr>
          <w:sz w:val="20"/>
          <w:szCs w:val="20"/>
          <w:color w:val="auto"/>
        </w:rPr>
      </w:pPr>
    </w:p>
    <w:p>
      <w:pPr>
        <w:jc w:val="both"/>
        <w:ind w:left="1" w:right="20" w:firstLine="648"/>
        <w:spacing w:after="0" w:line="271" w:lineRule="auto"/>
        <w:rPr>
          <w:sz w:val="20"/>
          <w:szCs w:val="20"/>
          <w:color w:val="auto"/>
        </w:rPr>
      </w:pPr>
      <w:r>
        <w:rPr>
          <w:rFonts w:ascii="Arial" w:cs="Arial" w:eastAsia="Arial" w:hAnsi="Arial"/>
          <w:sz w:val="19"/>
          <w:szCs w:val="19"/>
          <w:b w:val="1"/>
          <w:bCs w:val="1"/>
          <w:color w:val="auto"/>
        </w:rPr>
        <w:t xml:space="preserve">1.58 </w:t>
      </w:r>
      <w:r>
        <w:rPr>
          <w:rFonts w:ascii="Arial" w:cs="Arial" w:eastAsia="Arial" w:hAnsi="Arial"/>
          <w:sz w:val="19"/>
          <w:szCs w:val="19"/>
          <w:color w:val="auto"/>
        </w:rPr>
        <w:t>“</w:t>
      </w:r>
      <w:r>
        <w:rPr>
          <w:rFonts w:ascii="Arial" w:cs="Arial" w:eastAsia="Arial" w:hAnsi="Arial"/>
          <w:sz w:val="19"/>
          <w:szCs w:val="19"/>
          <w:b w:val="1"/>
          <w:bCs w:val="1"/>
          <w:i w:val="1"/>
          <w:iCs w:val="1"/>
          <w:color w:val="auto"/>
        </w:rPr>
        <w:t>Patent Rights</w:t>
      </w:r>
      <w:r>
        <w:rPr>
          <w:rFonts w:ascii="Arial" w:cs="Arial" w:eastAsia="Arial" w:hAnsi="Arial"/>
          <w:sz w:val="19"/>
          <w:szCs w:val="19"/>
          <w:color w:val="auto"/>
        </w:rPr>
        <w:t>” shall mean any and all (a) United States or foreign patents; (b) United States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foreign patent applications, including all provisional applications, substitutions, continuations, continuations-in-part, divisions, renewals, and all patents granted thereon; (c) United States or foreign patents-of-addition, reissues, reexaminations (including </w:t>
      </w:r>
      <w:r>
        <w:rPr>
          <w:rFonts w:ascii="Arial" w:cs="Arial" w:eastAsia="Arial" w:hAnsi="Arial"/>
          <w:sz w:val="19"/>
          <w:szCs w:val="19"/>
          <w:i w:val="1"/>
          <w:iCs w:val="1"/>
          <w:color w:val="auto"/>
        </w:rPr>
        <w:t>ex parte</w:t>
      </w:r>
      <w:r>
        <w:rPr>
          <w:rFonts w:ascii="Arial" w:cs="Arial" w:eastAsia="Arial" w:hAnsi="Arial"/>
          <w:sz w:val="19"/>
          <w:szCs w:val="19"/>
          <w:color w:val="auto"/>
        </w:rPr>
        <w:t xml:space="preserve"> reexaminations,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reexaminations, post grant reviews and supplemental examinations) and extensions or restorations by existing or future extension or restoration mechanisms, including supplementary protection certificates, patent term extensions, or the equivalents thereof; and</w:t>
      </w:r>
    </w:p>
    <w:p>
      <w:pPr>
        <w:spacing w:after="0" w:line="2" w:lineRule="exact"/>
        <w:rPr>
          <w:sz w:val="20"/>
          <w:szCs w:val="20"/>
          <w:color w:val="auto"/>
        </w:rPr>
      </w:pPr>
    </w:p>
    <w:p>
      <w:pPr>
        <w:ind w:left="1" w:right="20" w:hanging="1"/>
        <w:spacing w:after="0" w:line="237" w:lineRule="auto"/>
        <w:tabs>
          <w:tab w:leader="none" w:pos="308" w:val="left"/>
        </w:tabs>
        <w:numPr>
          <w:ilvl w:val="0"/>
          <w:numId w:val="44"/>
        </w:numPr>
        <w:rPr>
          <w:rFonts w:ascii="Arial" w:cs="Arial" w:eastAsia="Arial" w:hAnsi="Arial"/>
          <w:sz w:val="22"/>
          <w:szCs w:val="22"/>
          <w:color w:val="auto"/>
        </w:rPr>
      </w:pPr>
      <w:r>
        <w:rPr>
          <w:rFonts w:ascii="Arial" w:cs="Arial" w:eastAsia="Arial" w:hAnsi="Arial"/>
          <w:sz w:val="22"/>
          <w:szCs w:val="22"/>
          <w:color w:val="auto"/>
        </w:rPr>
        <w:t>any other form of government-issued right substantially similar to any of the foregoing, and “</w:t>
      </w:r>
      <w:r>
        <w:rPr>
          <w:rFonts w:ascii="Arial" w:cs="Arial" w:eastAsia="Arial" w:hAnsi="Arial"/>
          <w:sz w:val="22"/>
          <w:szCs w:val="22"/>
          <w:b w:val="1"/>
          <w:bCs w:val="1"/>
          <w:i w:val="1"/>
          <w:iCs w:val="1"/>
          <w:color w:val="auto"/>
        </w:rPr>
        <w:t>Patent</w:t>
      </w:r>
      <w:r>
        <w:rPr>
          <w:rFonts w:ascii="Arial" w:cs="Arial" w:eastAsia="Arial" w:hAnsi="Arial"/>
          <w:sz w:val="22"/>
          <w:szCs w:val="22"/>
          <w:color w:val="auto"/>
        </w:rPr>
        <w:t>” shall mean any of the foregoing issued or granted rights.</w:t>
      </w:r>
    </w:p>
    <w:p>
      <w:pPr>
        <w:spacing w:after="0" w:line="179"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PD-1</w:t>
      </w:r>
      <w:r>
        <w:rPr>
          <w:rFonts w:ascii="Arial" w:cs="Arial" w:eastAsia="Arial" w:hAnsi="Arial"/>
          <w:sz w:val="19"/>
          <w:szCs w:val="19"/>
          <w:color w:val="auto"/>
        </w:rPr>
        <w:t>” shall mean programmed cell death protein 1.</w:t>
      </w:r>
    </w:p>
    <w:p>
      <w:pPr>
        <w:spacing w:after="0" w:line="206"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1.60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PD-L1</w:t>
      </w:r>
      <w:r>
        <w:rPr>
          <w:rFonts w:ascii="Arial" w:cs="Arial" w:eastAsia="Arial" w:hAnsi="Arial"/>
          <w:sz w:val="19"/>
          <w:szCs w:val="19"/>
          <w:color w:val="auto"/>
        </w:rPr>
        <w:t>” shall mean programmed death-ligand 1.</w:t>
      </w:r>
    </w:p>
    <w:p>
      <w:pPr>
        <w:spacing w:after="0" w:line="206" w:lineRule="exact"/>
        <w:rPr>
          <w:sz w:val="20"/>
          <w:szCs w:val="20"/>
          <w:color w:val="auto"/>
        </w:rPr>
      </w:pPr>
    </w:p>
    <w:p>
      <w:pPr>
        <w:jc w:val="both"/>
        <w:ind w:left="1" w:right="20" w:firstLine="648"/>
        <w:spacing w:after="0" w:line="239"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i w:val="1"/>
          <w:iCs w:val="1"/>
          <w:color w:val="auto"/>
        </w:rPr>
        <w:t>Person</w:t>
      </w:r>
      <w:r>
        <w:rPr>
          <w:rFonts w:ascii="Arial" w:cs="Arial" w:eastAsia="Arial" w:hAnsi="Arial"/>
          <w:sz w:val="22"/>
          <w:szCs w:val="22"/>
          <w:color w:val="auto"/>
        </w:rPr>
        <w:t>” shall mean an individual, sole proprietorship, partnership, limited partnership, limited</w:t>
      </w:r>
      <w:r>
        <w:rPr>
          <w:rFonts w:ascii="Arial" w:cs="Arial" w:eastAsia="Arial" w:hAnsi="Arial"/>
          <w:sz w:val="22"/>
          <w:szCs w:val="22"/>
          <w:b w:val="1"/>
          <w:bCs w:val="1"/>
          <w:color w:val="auto"/>
        </w:rPr>
        <w:t xml:space="preserve"> </w:t>
      </w:r>
      <w:r>
        <w:rPr>
          <w:rFonts w:ascii="Arial" w:cs="Arial" w:eastAsia="Arial" w:hAnsi="Arial"/>
          <w:sz w:val="22"/>
          <w:szCs w:val="22"/>
          <w:color w:val="auto"/>
        </w:rPr>
        <w:t>liability partnership, corporation, limited liability company, business trust, joint stock company, trust, unincorporated association, joint venture, Entity or other similar entity or organization, including a government or political subdivision, department or agency of a government.</w:t>
      </w:r>
    </w:p>
    <w:p>
      <w:pPr>
        <w:spacing w:after="0" w:line="18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shall have the meaning set forth in Section 9.1 of this Agreement.</w:t>
      </w:r>
    </w:p>
    <w:p>
      <w:pPr>
        <w:spacing w:after="0" w:line="206" w:lineRule="exact"/>
        <w:rPr>
          <w:sz w:val="20"/>
          <w:szCs w:val="20"/>
          <w:color w:val="auto"/>
        </w:rPr>
      </w:pPr>
    </w:p>
    <w:p>
      <w:pPr>
        <w:jc w:val="both"/>
        <w:ind w:left="1" w:right="20" w:firstLine="648"/>
        <w:spacing w:after="0" w:line="243"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Authority</w:t>
      </w:r>
      <w:r>
        <w:rPr>
          <w:rFonts w:ascii="Arial" w:cs="Arial" w:eastAsia="Arial" w:hAnsi="Arial"/>
          <w:sz w:val="22"/>
          <w:szCs w:val="22"/>
          <w:color w:val="auto"/>
        </w:rPr>
        <w:t>” shall mean the FDA or any other governmental authority outside the United</w:t>
      </w:r>
      <w:r>
        <w:rPr>
          <w:rFonts w:ascii="Arial" w:cs="Arial" w:eastAsia="Arial" w:hAnsi="Arial"/>
          <w:sz w:val="22"/>
          <w:szCs w:val="22"/>
          <w:b w:val="1"/>
          <w:bCs w:val="1"/>
          <w:color w:val="auto"/>
        </w:rPr>
        <w:t xml:space="preserve"> </w:t>
      </w:r>
      <w:r>
        <w:rPr>
          <w:rFonts w:ascii="Arial" w:cs="Arial" w:eastAsia="Arial" w:hAnsi="Arial"/>
          <w:sz w:val="22"/>
          <w:szCs w:val="22"/>
          <w:color w:val="auto"/>
        </w:rPr>
        <w:t>States (whether national, federal, provincial and/or local) that is the counterpart to the FDA, including the European Medicines Agency for the European Union.</w:t>
      </w:r>
    </w:p>
    <w:p>
      <w:pPr>
        <w:spacing w:after="0" w:line="177" w:lineRule="exact"/>
        <w:rPr>
          <w:sz w:val="20"/>
          <w:szCs w:val="20"/>
          <w:color w:val="auto"/>
        </w:rPr>
      </w:pPr>
    </w:p>
    <w:p>
      <w:pPr>
        <w:jc w:val="both"/>
        <w:ind w:left="1" w:right="20" w:firstLine="648"/>
        <w:spacing w:after="0" w:line="237"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i w:val="1"/>
          <w:iCs w:val="1"/>
          <w:color w:val="auto"/>
        </w:rPr>
        <w:t>Regulatory Documentation</w:t>
      </w:r>
      <w:r>
        <w:rPr>
          <w:rFonts w:ascii="Arial" w:cs="Arial" w:eastAsia="Arial" w:hAnsi="Arial"/>
          <w:sz w:val="22"/>
          <w:szCs w:val="22"/>
          <w:color w:val="auto"/>
        </w:rPr>
        <w:t>” shall mean, with respect to a product containing the Nektar</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as monotherapy, the BioXcel Compound as monotherapy or the Nektar Compound and BioXcel Compound in combination use as individual formulations, all submissions to Regulatory Authorities in connection with the development of such product, including all INDs and amendments thereto, NDAs and amendments thereto, drug master files, correspondence with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8" w:right="899" w:bottom="1440" w:gutter="0" w:footer="0" w:header="0"/>
        </w:sectPr>
      </w:pPr>
    </w:p>
    <w:bookmarkStart w:id="77" w:name="page78"/>
    <w:bookmarkEnd w:id="77"/>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regulatory agencies, periodic safety update reports, adverse event files, complaint files, inspection reports and manufacturing records, in each case together with all supporting documents (including documents with respect to clinical data).</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1.65 </w:t>
      </w:r>
      <w:r>
        <w:rPr>
          <w:rFonts w:ascii="Arial" w:cs="Arial" w:eastAsia="Arial" w:hAnsi="Arial"/>
          <w:sz w:val="21"/>
          <w:szCs w:val="21"/>
          <w:color w:val="auto"/>
        </w:rPr>
        <w:t>“</w:t>
      </w:r>
      <w:r>
        <w:rPr>
          <w:rFonts w:ascii="Arial" w:cs="Arial" w:eastAsia="Arial" w:hAnsi="Arial"/>
          <w:sz w:val="21"/>
          <w:szCs w:val="21"/>
          <w:b w:val="1"/>
          <w:bCs w:val="1"/>
          <w:i w:val="1"/>
          <w:iCs w:val="1"/>
          <w:color w:val="auto"/>
        </w:rPr>
        <w:t>Right of Cross-Reference</w:t>
      </w:r>
      <w:r>
        <w:rPr>
          <w:rFonts w:ascii="Arial" w:cs="Arial" w:eastAsia="Arial" w:hAnsi="Arial"/>
          <w:sz w:val="21"/>
          <w:szCs w:val="21"/>
          <w:color w:val="auto"/>
        </w:rPr>
        <w:t>” shall mean, with regard to a Party, an authorization that permits an</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Regulatory Authority in a country to rely on to relevant information (by cross-reference, incorporation by reference or otherwise) contained in Regulatory Documentation (and any data contained therein) filed with such Regulatory Authority with respect to such Party’s Single Agent Compound (including, in the case of Nektar, the BioXcel IND and the Combined Therapy IND), only to the extent necessary for the conduct of a Combined Therapy Trial in such country or as otherwise expressly permitted or required under this Agreement to enable a Party to exercise its rights or perform its obligations hereunder, and, except as to information contained in the BioXcel IND relating to the Combined Therapy or the Combined Therapy IND, without the disclosure of such information to such Party.</w:t>
      </w:r>
    </w:p>
    <w:p>
      <w:pPr>
        <w:spacing w:after="0" w:line="17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1.66 </w:t>
      </w:r>
      <w:r>
        <w:rPr>
          <w:rFonts w:ascii="Arial" w:cs="Arial" w:eastAsia="Arial" w:hAnsi="Arial"/>
          <w:sz w:val="22"/>
          <w:szCs w:val="22"/>
          <w:color w:val="auto"/>
        </w:rPr>
        <w:t>“</w:t>
      </w:r>
      <w:r>
        <w:rPr>
          <w:rFonts w:ascii="Arial" w:cs="Arial" w:eastAsia="Arial" w:hAnsi="Arial"/>
          <w:sz w:val="22"/>
          <w:szCs w:val="22"/>
          <w:b w:val="1"/>
          <w:bCs w:val="1"/>
          <w:i w:val="1"/>
          <w:iCs w:val="1"/>
          <w:color w:val="auto"/>
        </w:rPr>
        <w:t>Samples</w:t>
      </w:r>
      <w:r>
        <w:rPr>
          <w:rFonts w:ascii="Arial" w:cs="Arial" w:eastAsia="Arial" w:hAnsi="Arial"/>
          <w:sz w:val="22"/>
          <w:szCs w:val="22"/>
          <w:color w:val="auto"/>
        </w:rPr>
        <w:t>” shall mean biological specimens collected from Combined Therapy Trial study subjects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fresh and/or archived tumor samples, serum, peripheral blood mononuclear cells, plasma, and whole blood for RNA and DNA sample isolation).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i w:val="1"/>
          <w:iCs w:val="1"/>
          <w:color w:val="auto"/>
        </w:rPr>
        <w:t>Single Agent Compound</w:t>
      </w:r>
      <w:r>
        <w:rPr>
          <w:rFonts w:ascii="Arial" w:cs="Arial" w:eastAsia="Arial" w:hAnsi="Arial"/>
          <w:sz w:val="22"/>
          <w:szCs w:val="22"/>
          <w:color w:val="auto"/>
        </w:rPr>
        <w:t>” or “</w:t>
      </w:r>
      <w:r>
        <w:rPr>
          <w:rFonts w:ascii="Arial" w:cs="Arial" w:eastAsia="Arial" w:hAnsi="Arial"/>
          <w:sz w:val="22"/>
          <w:szCs w:val="22"/>
          <w:b w:val="1"/>
          <w:bCs w:val="1"/>
          <w:i w:val="1"/>
          <w:iCs w:val="1"/>
          <w:color w:val="auto"/>
        </w:rPr>
        <w:t>Compound</w:t>
      </w:r>
      <w:r>
        <w:rPr>
          <w:rFonts w:ascii="Arial" w:cs="Arial" w:eastAsia="Arial" w:hAnsi="Arial"/>
          <w:sz w:val="22"/>
          <w:szCs w:val="22"/>
          <w:color w:val="auto"/>
        </w:rPr>
        <w:t>” shall mean, (a) with respect to BioXcel, the BioXcel</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(b) with respect to Nektar, the Nektar Compound, and (c) with respect to the supplier of the CPI Compound, the CPI Compound.</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1.68 </w:t>
      </w:r>
      <w:r>
        <w:rPr>
          <w:rFonts w:ascii="Arial" w:cs="Arial" w:eastAsia="Arial" w:hAnsi="Arial"/>
          <w:sz w:val="22"/>
          <w:szCs w:val="22"/>
          <w:color w:val="auto"/>
        </w:rPr>
        <w:t>“</w:t>
      </w:r>
      <w:r>
        <w:rPr>
          <w:rFonts w:ascii="Arial" w:cs="Arial" w:eastAsia="Arial" w:hAnsi="Arial"/>
          <w:sz w:val="22"/>
          <w:szCs w:val="22"/>
          <w:b w:val="1"/>
          <w:bCs w:val="1"/>
          <w:i w:val="1"/>
          <w:iCs w:val="1"/>
          <w:color w:val="auto"/>
        </w:rPr>
        <w:t>Statistical Analysis Plan</w:t>
      </w:r>
      <w:r>
        <w:rPr>
          <w:rFonts w:ascii="Arial" w:cs="Arial" w:eastAsia="Arial" w:hAnsi="Arial"/>
          <w:sz w:val="22"/>
          <w:szCs w:val="22"/>
          <w:color w:val="auto"/>
        </w:rPr>
        <w:t>” shall mean the set of analyses of the Study Data for each Combined</w:t>
      </w:r>
      <w:r>
        <w:rPr>
          <w:rFonts w:ascii="Arial" w:cs="Arial" w:eastAsia="Arial" w:hAnsi="Arial"/>
          <w:sz w:val="22"/>
          <w:szCs w:val="22"/>
          <w:b w:val="1"/>
          <w:bCs w:val="1"/>
          <w:color w:val="auto"/>
        </w:rPr>
        <w:t xml:space="preserve"> </w:t>
      </w:r>
      <w:r>
        <w:rPr>
          <w:rFonts w:ascii="Arial" w:cs="Arial" w:eastAsia="Arial" w:hAnsi="Arial"/>
          <w:sz w:val="22"/>
          <w:szCs w:val="22"/>
          <w:color w:val="auto"/>
        </w:rPr>
        <w:t>Therapy Trial conducted hereunder prepared by BioXcel (in consultation with Nektar) and approved by the JDC and shall include safety analyses for the Combined Therapy in each Combined Therapy Trial. The Statistical Analysis Plan document for a Combined Therapy Trial will be agreed to by the JDC before Database Lock and any material amendments thereto will require JDC approval.</w:t>
      </w:r>
    </w:p>
    <w:p>
      <w:pPr>
        <w:spacing w:after="0" w:line="183"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1.69 </w:t>
      </w:r>
      <w:r>
        <w:rPr>
          <w:rFonts w:ascii="Arial" w:cs="Arial" w:eastAsia="Arial" w:hAnsi="Arial"/>
          <w:sz w:val="19"/>
          <w:szCs w:val="19"/>
          <w:color w:val="auto"/>
        </w:rPr>
        <w:t>“</w:t>
      </w:r>
      <w:r>
        <w:rPr>
          <w:rFonts w:ascii="Arial" w:cs="Arial" w:eastAsia="Arial" w:hAnsi="Arial"/>
          <w:sz w:val="19"/>
          <w:szCs w:val="19"/>
          <w:b w:val="1"/>
          <w:bCs w:val="1"/>
          <w:i w:val="1"/>
          <w:iCs w:val="1"/>
          <w:color w:val="auto"/>
        </w:rPr>
        <w:t>Technology</w:t>
      </w:r>
      <w:r>
        <w:rPr>
          <w:rFonts w:ascii="Arial" w:cs="Arial" w:eastAsia="Arial" w:hAnsi="Arial"/>
          <w:sz w:val="19"/>
          <w:szCs w:val="19"/>
          <w:color w:val="auto"/>
        </w:rPr>
        <w:t>” shall mean information, inventions, discoveries, trade secrets, knowledge, technology,</w:t>
      </w:r>
      <w:r>
        <w:rPr>
          <w:rFonts w:ascii="Arial" w:cs="Arial" w:eastAsia="Arial" w:hAnsi="Arial"/>
          <w:sz w:val="19"/>
          <w:szCs w:val="19"/>
          <w:b w:val="1"/>
          <w:bCs w:val="1"/>
          <w:color w:val="auto"/>
        </w:rPr>
        <w:t xml:space="preserve"> </w:t>
      </w:r>
      <w:r>
        <w:rPr>
          <w:rFonts w:ascii="Arial" w:cs="Arial" w:eastAsia="Arial" w:hAnsi="Arial"/>
          <w:sz w:val="19"/>
          <w:szCs w:val="19"/>
          <w:color w:val="auto"/>
        </w:rPr>
        <w:t>methods, processes, practices, formulae, instructions, skills, techniques, procedures, experiences, ideas, technical assistance, designs, drawings, assembly procedures, computer programs, specifications, data and results not generally known to the public (including biological, chemical, pharmacological, toxicological, pharmaceutical, physical and analytical, pre-clinical, clinical, safety, manufacturing and quality control data and know-how, including study designs and protocols), in all cases, whether or not patentable, in written, electronic or any other form now known or hereafter developed, materials, data and results, including Regulatory Documentation.</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1.70 </w:t>
      </w:r>
      <w:r>
        <w:rPr>
          <w:rFonts w:ascii="Arial" w:cs="Arial" w:eastAsia="Arial" w:hAnsi="Arial"/>
          <w:sz w:val="22"/>
          <w:szCs w:val="22"/>
          <w:color w:val="auto"/>
        </w:rPr>
        <w:t>“</w:t>
      </w:r>
      <w:r>
        <w:rPr>
          <w:rFonts w:ascii="Arial" w:cs="Arial" w:eastAsia="Arial" w:hAnsi="Arial"/>
          <w:sz w:val="22"/>
          <w:szCs w:val="22"/>
          <w:b w:val="1"/>
          <w:bCs w:val="1"/>
          <w:i w:val="1"/>
          <w:iCs w:val="1"/>
          <w:color w:val="auto"/>
        </w:rPr>
        <w:t>Third Party</w:t>
      </w:r>
      <w:r>
        <w:rPr>
          <w:rFonts w:ascii="Arial" w:cs="Arial" w:eastAsia="Arial" w:hAnsi="Arial"/>
          <w:sz w:val="22"/>
          <w:szCs w:val="22"/>
          <w:color w:val="auto"/>
        </w:rPr>
        <w:t>” shall mean any Person or Entity other than BioXcel and Nektar and their respective</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78" w:name="page79"/>
    <w:bookmarkEnd w:id="78"/>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1.71 </w:t>
      </w: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 License Payments</w:t>
      </w:r>
      <w:r>
        <w:rPr>
          <w:rFonts w:ascii="Arial" w:cs="Arial" w:eastAsia="Arial" w:hAnsi="Arial"/>
          <w:sz w:val="19"/>
          <w:szCs w:val="19"/>
          <w:color w:val="auto"/>
        </w:rPr>
        <w:t>” shall mean any payments (e.g., upfront payments, maintenance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milestones, royalties) due to any Third Party under license agreements or other written agreements granting rights to intellectual property owned or controlled by such Third Party to the extent that such rights are necessary for (i) the making, using or importing of a Party’s or CPI Compound Supplier’s Single Agent Compound for the conduct of the Combined Therapy Trial, or (ii) the conduct of any Combined Therapy Trial.</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u w:val="single" w:color="auto"/>
          <w:color w:val="auto"/>
        </w:rPr>
        <w:t>Additional Definitions.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In addition to those terms defined above, definitions for each of the following terms are</w:t>
      </w:r>
      <w:r>
        <w:rPr>
          <w:rFonts w:ascii="Arial" w:cs="Arial" w:eastAsia="Arial" w:hAnsi="Arial"/>
          <w:sz w:val="22"/>
          <w:szCs w:val="22"/>
          <w:b w:val="1"/>
          <w:bCs w:val="1"/>
          <w:color w:val="auto"/>
        </w:rPr>
        <w:t xml:space="preserve"> </w:t>
      </w:r>
      <w:r>
        <w:rPr>
          <w:rFonts w:ascii="Arial" w:cs="Arial" w:eastAsia="Arial" w:hAnsi="Arial"/>
          <w:sz w:val="22"/>
          <w:szCs w:val="22"/>
          <w:color w:val="auto"/>
        </w:rPr>
        <w:t>found in the body of this Agreement as indicated below:</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160" w:type="dxa"/>
            <w:vAlign w:val="bottom"/>
            <w:tcBorders>
              <w:top w:val="single" w:sz="8" w:color="auto"/>
              <w:left w:val="single" w:sz="8" w:color="auto"/>
            </w:tcBorders>
          </w:tcPr>
          <w:p>
            <w:pPr>
              <w:spacing w:after="0"/>
              <w:rPr>
                <w:sz w:val="18"/>
                <w:szCs w:val="18"/>
                <w:color w:val="auto"/>
              </w:rPr>
            </w:pPr>
          </w:p>
        </w:tc>
        <w:tc>
          <w:tcPr>
            <w:tcW w:w="2060" w:type="dxa"/>
            <w:vAlign w:val="bottom"/>
            <w:tcBorders>
              <w:top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Defined Term</w:t>
            </w:r>
          </w:p>
        </w:tc>
        <w:tc>
          <w:tcPr>
            <w:tcW w:w="1360" w:type="dxa"/>
            <w:vAlign w:val="bottom"/>
            <w:tcBorders>
              <w:top w:val="single" w:sz="8" w:color="auto"/>
              <w:right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40" w:type="dxa"/>
            <w:vAlign w:val="bottom"/>
            <w:tcBorders>
              <w:top w:val="single" w:sz="8" w:color="auto"/>
              <w:right w:val="single" w:sz="8" w:color="auto"/>
            </w:tcBorders>
            <w:gridSpan w:val="2"/>
          </w:tcPr>
          <w:p>
            <w:pPr>
              <w:spacing w:after="0" w:line="217" w:lineRule="exact"/>
              <w:rPr>
                <w:sz w:val="20"/>
                <w:szCs w:val="20"/>
                <w:color w:val="auto"/>
              </w:rPr>
            </w:pPr>
            <w:r>
              <w:rPr>
                <w:rFonts w:ascii="Arial" w:cs="Arial" w:eastAsia="Arial" w:hAnsi="Arial"/>
                <w:sz w:val="22"/>
                <w:szCs w:val="22"/>
                <w:b w:val="1"/>
                <w:bCs w:val="1"/>
                <w:color w:val="auto"/>
              </w:rPr>
              <w:t>Section</w:t>
            </w:r>
          </w:p>
        </w:tc>
        <w:tc>
          <w:tcPr>
            <w:tcW w:w="1480" w:type="dxa"/>
            <w:vAlign w:val="bottom"/>
          </w:tcPr>
          <w:p>
            <w:pPr>
              <w:spacing w:after="0"/>
              <w:rPr>
                <w:sz w:val="18"/>
                <w:szCs w:val="18"/>
                <w:color w:val="auto"/>
              </w:rPr>
            </w:pPr>
          </w:p>
        </w:tc>
      </w:tr>
      <w:tr>
        <w:trPr>
          <w:trHeight w:val="88"/>
        </w:trPr>
        <w:tc>
          <w:tcPr>
            <w:tcW w:w="2160" w:type="dxa"/>
            <w:vAlign w:val="bottom"/>
            <w:tcBorders>
              <w:left w:val="single" w:sz="8" w:color="auto"/>
              <w:bottom w:val="single" w:sz="8" w:color="auto"/>
            </w:tcBorders>
          </w:tcPr>
          <w:p>
            <w:pPr>
              <w:spacing w:after="0"/>
              <w:rPr>
                <w:sz w:val="7"/>
                <w:szCs w:val="7"/>
                <w:color w:val="auto"/>
              </w:rPr>
            </w:pPr>
          </w:p>
        </w:tc>
        <w:tc>
          <w:tcPr>
            <w:tcW w:w="1260" w:type="dxa"/>
            <w:vAlign w:val="bottom"/>
            <w:tcBorders>
              <w:top w:val="single" w:sz="8" w:color="auto"/>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36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1180" w:type="dxa"/>
            <w:vAlign w:val="bottom"/>
            <w:tcBorders>
              <w:bottom w:val="single" w:sz="8" w:color="auto"/>
              <w:right w:val="single" w:sz="8" w:color="auto"/>
            </w:tcBorders>
          </w:tcPr>
          <w:p>
            <w:pPr>
              <w:spacing w:after="0"/>
              <w:rPr>
                <w:sz w:val="7"/>
                <w:szCs w:val="7"/>
                <w:color w:val="auto"/>
              </w:rPr>
            </w:pPr>
          </w:p>
        </w:tc>
        <w:tc>
          <w:tcPr>
            <w:tcW w:w="1480" w:type="dxa"/>
            <w:vAlign w:val="bottom"/>
          </w:tcPr>
          <w:p>
            <w:pPr>
              <w:spacing w:after="0"/>
              <w:rPr>
                <w:sz w:val="7"/>
                <w:szCs w:val="7"/>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AAA</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13.3(b)</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Alliance Manager</w:t>
            </w:r>
          </w:p>
        </w:tc>
        <w:tc>
          <w:tcPr>
            <w:tcW w:w="1360" w:type="dxa"/>
            <w:vAlign w:val="bottom"/>
            <w:tcBorders>
              <w:right w:val="single" w:sz="8" w:color="auto"/>
            </w:tcBorders>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2.7</w:t>
            </w:r>
          </w:p>
        </w:tc>
        <w:tc>
          <w:tcPr>
            <w:tcW w:w="6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Annual Report</w:t>
            </w:r>
          </w:p>
        </w:tc>
        <w:tc>
          <w:tcPr>
            <w:tcW w:w="1360" w:type="dxa"/>
            <w:vAlign w:val="bottom"/>
            <w:tcBorders>
              <w:right w:val="single" w:sz="8" w:color="auto"/>
            </w:tcBorders>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9.3</w:t>
            </w:r>
          </w:p>
        </w:tc>
        <w:tc>
          <w:tcPr>
            <w:tcW w:w="6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BioXcel IND</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2.1(b)</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Breaching Party</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12.2(a)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CDA</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9.1(a)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Co-Chair</w:t>
            </w:r>
          </w:p>
        </w:tc>
        <w:tc>
          <w:tcPr>
            <w:tcW w:w="1360" w:type="dxa"/>
            <w:vAlign w:val="bottom"/>
            <w:tcBorders>
              <w:right w:val="single" w:sz="8" w:color="auto"/>
            </w:tcBorders>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2.3</w:t>
            </w:r>
          </w:p>
        </w:tc>
        <w:tc>
          <w:tcPr>
            <w:tcW w:w="6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Combined Therapy IND</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2.1(b)</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Combined Therapy Trial</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2.1(a)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CSRs</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5.1(a)(xvi)</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CRO Agreement</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2.4(o)</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Cure Period</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12.2(a)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Current Report</w:t>
            </w:r>
          </w:p>
        </w:tc>
        <w:tc>
          <w:tcPr>
            <w:tcW w:w="1360" w:type="dxa"/>
            <w:vAlign w:val="bottom"/>
            <w:tcBorders>
              <w:right w:val="single" w:sz="8" w:color="auto"/>
            </w:tcBorders>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9.3</w:t>
            </w:r>
          </w:p>
        </w:tc>
        <w:tc>
          <w:tcPr>
            <w:tcW w:w="6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Diligence Targets</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2.6(a)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Dispute</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13.3(a)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Finance Representatives</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7.2(a)(i)</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Indemnify</w:t>
            </w:r>
          </w:p>
        </w:tc>
        <w:tc>
          <w:tcPr>
            <w:tcW w:w="1360" w:type="dxa"/>
            <w:vAlign w:val="bottom"/>
            <w:tcBorders>
              <w:right w:val="single" w:sz="8" w:color="auto"/>
            </w:tcBorders>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11.1</w:t>
            </w:r>
          </w:p>
        </w:tc>
        <w:tc>
          <w:tcPr>
            <w:tcW w:w="6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Informed Consent Form (ICF)</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2.6(a)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84"/>
        </w:trPr>
        <w:tc>
          <w:tcPr>
            <w:tcW w:w="422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 xml:space="preserve">Infringe </w:t>
            </w:r>
            <w:r>
              <w:rPr>
                <w:rFonts w:ascii="Arial" w:cs="Arial" w:eastAsia="Arial" w:hAnsi="Arial"/>
                <w:sz w:val="22"/>
                <w:szCs w:val="22"/>
                <w:b w:val="1"/>
                <w:bCs w:val="1"/>
                <w:color w:val="auto"/>
              </w:rPr>
              <w:t>or</w:t>
            </w:r>
            <w:r>
              <w:rPr>
                <w:rFonts w:ascii="Arial" w:cs="Arial" w:eastAsia="Arial" w:hAnsi="Arial"/>
                <w:sz w:val="22"/>
                <w:szCs w:val="22"/>
                <w:b w:val="1"/>
                <w:bCs w:val="1"/>
                <w:i w:val="1"/>
                <w:iCs w:val="1"/>
                <w:color w:val="auto"/>
              </w:rPr>
              <w:t xml:space="preserve"> Infringement</w:t>
            </w:r>
          </w:p>
        </w:tc>
        <w:tc>
          <w:tcPr>
            <w:tcW w:w="1360" w:type="dxa"/>
            <w:vAlign w:val="bottom"/>
            <w:tcBorders>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22"/>
                <w:szCs w:val="22"/>
                <w:color w:val="auto"/>
              </w:rPr>
              <w:t>6.3(a)</w:t>
            </w:r>
          </w:p>
        </w:tc>
        <w:tc>
          <w:tcPr>
            <w:tcW w:w="1480" w:type="dxa"/>
            <w:vAlign w:val="bottom"/>
          </w:tcPr>
          <w:p>
            <w:pPr>
              <w:spacing w:after="0"/>
              <w:rPr>
                <w:sz w:val="24"/>
                <w:szCs w:val="24"/>
                <w:color w:val="auto"/>
              </w:rPr>
            </w:pPr>
          </w:p>
        </w:tc>
      </w:tr>
      <w:tr>
        <w:trPr>
          <w:trHeight w:val="275"/>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Initial Trial</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2.1(a)</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IRBs</w:t>
            </w:r>
          </w:p>
        </w:tc>
        <w:tc>
          <w:tcPr>
            <w:tcW w:w="1360" w:type="dxa"/>
            <w:vAlign w:val="bottom"/>
            <w:tcBorders>
              <w:right w:val="single" w:sz="8" w:color="auto"/>
            </w:tcBorders>
          </w:tcPr>
          <w:p>
            <w:pPr>
              <w:spacing w:after="0"/>
              <w:rPr>
                <w:sz w:val="23"/>
                <w:szCs w:val="23"/>
                <w:color w:val="auto"/>
              </w:rPr>
            </w:pPr>
          </w:p>
        </w:tc>
        <w:tc>
          <w:tcPr>
            <w:tcW w:w="3000" w:type="dxa"/>
            <w:vAlign w:val="bottom"/>
            <w:tcBorders>
              <w:right w:val="single" w:sz="8" w:color="auto"/>
            </w:tcBorders>
            <w:gridSpan w:val="3"/>
          </w:tcPr>
          <w:p>
            <w:pPr>
              <w:ind w:left="100"/>
              <w:spacing w:after="0"/>
              <w:rPr>
                <w:sz w:val="20"/>
                <w:szCs w:val="20"/>
                <w:color w:val="auto"/>
              </w:rPr>
            </w:pPr>
            <w:r>
              <w:rPr>
                <w:rFonts w:ascii="Arial" w:cs="Arial" w:eastAsia="Arial" w:hAnsi="Arial"/>
                <w:sz w:val="22"/>
                <w:szCs w:val="22"/>
                <w:color w:val="auto"/>
              </w:rPr>
              <w:t>9.3(d)</w:t>
            </w: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84"/>
        </w:trPr>
        <w:tc>
          <w:tcPr>
            <w:tcW w:w="4220" w:type="dxa"/>
            <w:vAlign w:val="bottom"/>
            <w:tcBorders>
              <w:left w:val="single" w:sz="8" w:color="auto"/>
              <w:bottom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 xml:space="preserve">JDC </w:t>
            </w:r>
            <w:r>
              <w:rPr>
                <w:rFonts w:ascii="Arial" w:cs="Arial" w:eastAsia="Arial" w:hAnsi="Arial"/>
                <w:sz w:val="22"/>
                <w:szCs w:val="22"/>
                <w:b w:val="1"/>
                <w:bCs w:val="1"/>
                <w:color w:val="auto"/>
              </w:rPr>
              <w:t>or</w:t>
            </w:r>
            <w:r>
              <w:rPr>
                <w:rFonts w:ascii="Arial" w:cs="Arial" w:eastAsia="Arial" w:hAnsi="Arial"/>
                <w:sz w:val="22"/>
                <w:szCs w:val="22"/>
                <w:b w:val="1"/>
                <w:bCs w:val="1"/>
                <w:i w:val="1"/>
                <w:iCs w:val="1"/>
                <w:color w:val="auto"/>
              </w:rPr>
              <w:t xml:space="preserve"> Joint Development Committee</w:t>
            </w:r>
          </w:p>
        </w:tc>
        <w:tc>
          <w:tcPr>
            <w:tcW w:w="136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2.3</w:t>
            </w:r>
          </w:p>
        </w:tc>
        <w:tc>
          <w:tcPr>
            <w:tcW w:w="6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4220" w:type="dxa"/>
            <w:vAlign w:val="bottom"/>
            <w:tcBorders>
              <w:left w:val="single" w:sz="8" w:color="auto"/>
            </w:tcBorders>
            <w:gridSpan w:val="3"/>
          </w:tcPr>
          <w:p>
            <w:pPr>
              <w:ind w:left="120"/>
              <w:spacing w:after="0"/>
              <w:rPr>
                <w:sz w:val="20"/>
                <w:szCs w:val="20"/>
                <w:color w:val="auto"/>
              </w:rPr>
            </w:pPr>
            <w:r>
              <w:rPr>
                <w:rFonts w:ascii="Arial" w:cs="Arial" w:eastAsia="Arial" w:hAnsi="Arial"/>
                <w:sz w:val="22"/>
                <w:szCs w:val="22"/>
                <w:b w:val="1"/>
                <w:bCs w:val="1"/>
                <w:i w:val="1"/>
                <w:iCs w:val="1"/>
                <w:color w:val="auto"/>
              </w:rPr>
              <w:t>JDC Dispute</w:t>
            </w:r>
          </w:p>
        </w:tc>
        <w:tc>
          <w:tcPr>
            <w:tcW w:w="1360" w:type="dxa"/>
            <w:vAlign w:val="bottom"/>
            <w:tcBorders>
              <w:right w:val="single" w:sz="8" w:color="auto"/>
            </w:tcBorders>
          </w:tcPr>
          <w:p>
            <w:pPr>
              <w:spacing w:after="0"/>
              <w:rPr>
                <w:sz w:val="23"/>
                <w:szCs w:val="23"/>
                <w:color w:val="auto"/>
              </w:rPr>
            </w:pPr>
          </w:p>
        </w:tc>
        <w:tc>
          <w:tcPr>
            <w:tcW w:w="1160" w:type="dxa"/>
            <w:vAlign w:val="bottom"/>
          </w:tcPr>
          <w:p>
            <w:pPr>
              <w:ind w:left="100"/>
              <w:spacing w:after="0"/>
              <w:rPr>
                <w:sz w:val="20"/>
                <w:szCs w:val="20"/>
                <w:color w:val="auto"/>
              </w:rPr>
            </w:pPr>
            <w:r>
              <w:rPr>
                <w:rFonts w:ascii="Arial" w:cs="Arial" w:eastAsia="Arial" w:hAnsi="Arial"/>
                <w:sz w:val="22"/>
                <w:szCs w:val="22"/>
                <w:color w:val="auto"/>
              </w:rPr>
              <w:t>2.8</w:t>
            </w:r>
          </w:p>
        </w:tc>
        <w:tc>
          <w:tcPr>
            <w:tcW w:w="6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480" w:type="dxa"/>
            <w:vAlign w:val="bottom"/>
          </w:tcPr>
          <w:p>
            <w:pPr>
              <w:spacing w:after="0"/>
              <w:rPr>
                <w:sz w:val="23"/>
                <w:szCs w:val="23"/>
                <w:color w:val="auto"/>
              </w:rPr>
            </w:pPr>
          </w:p>
        </w:tc>
      </w:tr>
      <w:tr>
        <w:trPr>
          <w:trHeight w:val="23"/>
        </w:trPr>
        <w:tc>
          <w:tcPr>
            <w:tcW w:w="2160" w:type="dxa"/>
            <w:vAlign w:val="bottom"/>
            <w:tcBorders>
              <w:left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827"/>
        </w:trPr>
        <w:tc>
          <w:tcPr>
            <w:tcW w:w="2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jc w:val="right"/>
              <w:ind w:right="332"/>
              <w:spacing w:after="0"/>
              <w:rPr>
                <w:sz w:val="20"/>
                <w:szCs w:val="20"/>
                <w:color w:val="auto"/>
              </w:rPr>
            </w:pPr>
            <w:r>
              <w:rPr>
                <w:rFonts w:ascii="Arial" w:cs="Arial" w:eastAsia="Arial" w:hAnsi="Arial"/>
                <w:sz w:val="22"/>
                <w:szCs w:val="22"/>
                <w:color w:val="auto"/>
              </w:rPr>
              <w:t>10</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5"/>
        </w:trPr>
        <w:tc>
          <w:tcPr>
            <w:tcW w:w="21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r>
    </w:tbl>
    <w:p>
      <w:pPr>
        <w:sectPr>
          <w:pgSz w:w="11900" w:h="16838" w:orient="portrait"/>
          <w:cols w:equalWidth="0" w:num="1">
            <w:col w:w="10060"/>
          </w:cols>
          <w:pgMar w:left="920" w:top="118" w:right="919" w:bottom="1440" w:gutter="0" w:footer="0" w:header="0"/>
        </w:sectPr>
      </w:pPr>
    </w:p>
    <w:bookmarkStart w:id="79" w:name="page80"/>
    <w:bookmarkEnd w:id="79"/>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90" w:lineRule="exact"/>
        <w:rPr>
          <w:sz w:val="20"/>
          <w:szCs w:val="20"/>
          <w:color w:val="auto"/>
        </w:rPr>
      </w:pPr>
    </w:p>
    <w:tbl>
      <w:tblPr>
        <w:tblLayout w:type="fixed"/>
        <w:tblInd w:w="30" w:type="dxa"/>
        <w:tblCellMar>
          <w:top w:w="0" w:type="dxa"/>
          <w:left w:w="0" w:type="dxa"/>
          <w:bottom w:w="0" w:type="dxa"/>
          <w:right w:w="0" w:type="dxa"/>
        </w:tblCellMar>
      </w:tblPr>
      <w:tr>
        <w:trPr>
          <w:trHeight w:val="288"/>
        </w:trPr>
        <w:tc>
          <w:tcPr>
            <w:tcW w:w="55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Licensee</w:t>
            </w:r>
          </w:p>
        </w:tc>
        <w:tc>
          <w:tcPr>
            <w:tcW w:w="30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13.10(b)</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Losses</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11.1</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Non-Breaching Party</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12.2(a)</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Officials</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10.9</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Operational Matters</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2.6(a)</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Payment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10.9</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5560" w:type="dxa"/>
            <w:vAlign w:val="bottom"/>
            <w:tcBorders>
              <w:left w:val="single" w:sz="8" w:color="auto"/>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spacing w:after="0"/>
              <w:rPr>
                <w:sz w:val="22"/>
                <w:szCs w:val="22"/>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Protocol</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2.1(a)</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Publication Dispute</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9.5(b)</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Quality Agreement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4.3</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Quarterly Patent Costs Report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7.2</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Quarterly Report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7.2</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4"/>
        </w:trPr>
        <w:tc>
          <w:tcPr>
            <w:tcW w:w="5560" w:type="dxa"/>
            <w:vAlign w:val="bottom"/>
            <w:tcBorders>
              <w:left w:val="single" w:sz="8" w:color="auto"/>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spacing w:after="0"/>
              <w:rPr>
                <w:sz w:val="22"/>
                <w:szCs w:val="22"/>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Research Agreement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6.1</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Results</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9.5(b)</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SEC</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9.3</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Safety Data Exchange Agreement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2.2</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Site/CRO List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2.6(d)</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Study Data</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8.1</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Supply Agreement</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4.4</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Term</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12.1</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Third Party Claim</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11.1</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r>
        <w:trPr>
          <w:trHeight w:val="268"/>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i w:val="1"/>
                <w:iCs w:val="1"/>
                <w:color w:val="auto"/>
              </w:rPr>
              <w:t>Third Party Study Costs</w:t>
            </w:r>
          </w:p>
        </w:tc>
        <w:tc>
          <w:tcPr>
            <w:tcW w:w="302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7.1</w:t>
            </w:r>
          </w:p>
        </w:tc>
      </w:tr>
      <w:tr>
        <w:trPr>
          <w:trHeight w:val="23"/>
        </w:trPr>
        <w:tc>
          <w:tcPr>
            <w:tcW w:w="55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020" w:type="dxa"/>
            <w:vAlign w:val="bottom"/>
            <w:tcBorders>
              <w:bottom w:val="single" w:sz="8" w:color="auto"/>
              <w:right w:val="single" w:sz="8" w:color="auto"/>
            </w:tcBorders>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SCOPE; GOVERNANCE</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Scope of Collaboration; Governance of Agreement.</w:t>
      </w:r>
    </w:p>
    <w:p>
      <w:pPr>
        <w:spacing w:after="0" w:line="212" w:lineRule="exact"/>
        <w:rPr>
          <w:sz w:val="20"/>
          <w:szCs w:val="20"/>
          <w:color w:val="auto"/>
        </w:rPr>
      </w:pPr>
    </w:p>
    <w:p>
      <w:pPr>
        <w:jc w:val="both"/>
        <w:ind w:firstLine="1296"/>
        <w:spacing w:after="0" w:line="235" w:lineRule="auto"/>
        <w:tabs>
          <w:tab w:leader="none" w:pos="1994" w:val="left"/>
        </w:tabs>
        <w:numPr>
          <w:ilvl w:val="0"/>
          <w:numId w:val="45"/>
        </w:numPr>
        <w:rPr>
          <w:rFonts w:ascii="Arial" w:cs="Arial" w:eastAsia="Arial" w:hAnsi="Arial"/>
          <w:sz w:val="22"/>
          <w:szCs w:val="22"/>
          <w:b w:val="1"/>
          <w:bCs w:val="1"/>
          <w:color w:val="auto"/>
        </w:rPr>
      </w:pPr>
      <w:r>
        <w:rPr>
          <w:rFonts w:ascii="Arial" w:cs="Arial" w:eastAsia="Arial" w:hAnsi="Arial"/>
          <w:sz w:val="22"/>
          <w:szCs w:val="22"/>
          <w:color w:val="auto"/>
        </w:rPr>
        <w:t>The Parties shall, pursuant to this Agreement, collaborate to conduct the following clinical trials (each, a “</w:t>
      </w:r>
      <w:r>
        <w:rPr>
          <w:rFonts w:ascii="Arial" w:cs="Arial" w:eastAsia="Arial" w:hAnsi="Arial"/>
          <w:sz w:val="22"/>
          <w:szCs w:val="22"/>
          <w:b w:val="1"/>
          <w:bCs w:val="1"/>
          <w:i w:val="1"/>
          <w:iCs w:val="1"/>
          <w:color w:val="auto"/>
        </w:rPr>
        <w:t>Combined Therapy Trial</w:t>
      </w:r>
      <w:r>
        <w:rPr>
          <w:rFonts w:ascii="Arial" w:cs="Arial" w:eastAsia="Arial" w:hAnsi="Arial"/>
          <w:sz w:val="22"/>
          <w:szCs w:val="22"/>
          <w:color w:val="auto"/>
        </w:rPr>
        <w:t>”) (i) a Phase 1/2 clinical trial evaluating the Combined Therapy (the “</w:t>
      </w:r>
      <w:r>
        <w:rPr>
          <w:rFonts w:ascii="Arial" w:cs="Arial" w:eastAsia="Arial" w:hAnsi="Arial"/>
          <w:sz w:val="22"/>
          <w:szCs w:val="22"/>
          <w:b w:val="1"/>
          <w:bCs w:val="1"/>
          <w:i w:val="1"/>
          <w:iCs w:val="1"/>
          <w:color w:val="auto"/>
        </w:rPr>
        <w:t>Initial Trial</w:t>
      </w:r>
      <w:r>
        <w:rPr>
          <w:rFonts w:ascii="Arial" w:cs="Arial" w:eastAsia="Arial" w:hAnsi="Arial"/>
          <w:sz w:val="22"/>
          <w:szCs w:val="22"/>
          <w:color w:val="auto"/>
        </w:rPr>
        <w:t>”), and (ii) such other clinical trials evaluating the Combined Therapy as may be mutually agreed upon by the Parties. Each Combined Therapy Trial shall be conducted in accordance with a protocol (each, a “</w:t>
      </w:r>
      <w:r>
        <w:rPr>
          <w:rFonts w:ascii="Arial" w:cs="Arial" w:eastAsia="Arial" w:hAnsi="Arial"/>
          <w:sz w:val="22"/>
          <w:szCs w:val="22"/>
          <w:b w:val="1"/>
          <w:bCs w:val="1"/>
          <w:i w:val="1"/>
          <w:iCs w:val="1"/>
          <w:color w:val="auto"/>
        </w:rPr>
        <w:t>Protocol</w:t>
      </w:r>
      <w:r>
        <w:rPr>
          <w:rFonts w:ascii="Arial" w:cs="Arial" w:eastAsia="Arial" w:hAnsi="Arial"/>
          <w:sz w:val="22"/>
          <w:szCs w:val="22"/>
          <w:color w:val="auto"/>
        </w:rPr>
        <w:t>”) to be drafted by BioXcel (in consultation with Nektar) and mutually agreed upon by the Parties at a meeting of the JDC. No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0" w:name="page81"/>
    <w:bookmarkEnd w:id="80"/>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Protocol, including the Protocol for the Initial Trial, shall be approved by the JDC unless the corresponding budget is also approved by the JDC either in advance of the approval of the Protocol or contemporaneously with the approval of the Protocol. Any substantive amendments to each Protocol and related budget will be subject to mutual agreement of the Parties at a meeting of the JDC or by written agreement (including by email acknowledgment) of the JDC Co-Chairs without a meeting. A trial overview (“</w:t>
      </w:r>
      <w:r>
        <w:rPr>
          <w:rFonts w:ascii="Arial" w:cs="Arial" w:eastAsia="Arial" w:hAnsi="Arial"/>
          <w:sz w:val="22"/>
          <w:szCs w:val="22"/>
          <w:b w:val="1"/>
          <w:bCs w:val="1"/>
          <w:i w:val="1"/>
          <w:iCs w:val="1"/>
          <w:color w:val="auto"/>
        </w:rPr>
        <w:t>Trial Overview</w:t>
      </w:r>
      <w:r>
        <w:rPr>
          <w:rFonts w:ascii="Arial" w:cs="Arial" w:eastAsia="Arial" w:hAnsi="Arial"/>
          <w:sz w:val="22"/>
          <w:szCs w:val="22"/>
          <w:color w:val="auto"/>
        </w:rPr>
        <w:t xml:space="preserve"> ”) for the Initial Trial is attached hereto as Exhibit A, which shall be used by BioXcel for the drafting of the Protocol for the Initial Trial, for submission to the JDC.</w:t>
      </w:r>
    </w:p>
    <w:p>
      <w:pPr>
        <w:spacing w:after="0" w:line="191" w:lineRule="exact"/>
        <w:rPr>
          <w:sz w:val="20"/>
          <w:szCs w:val="20"/>
          <w:color w:val="auto"/>
        </w:rPr>
      </w:pPr>
    </w:p>
    <w:p>
      <w:pPr>
        <w:jc w:val="both"/>
        <w:ind w:firstLine="1296"/>
        <w:spacing w:after="0"/>
        <w:tabs>
          <w:tab w:leader="none" w:pos="1939" w:val="left"/>
        </w:tabs>
        <w:numPr>
          <w:ilvl w:val="0"/>
          <w:numId w:val="46"/>
        </w:numPr>
        <w:rPr>
          <w:rFonts w:ascii="Arial" w:cs="Arial" w:eastAsia="Arial" w:hAnsi="Arial"/>
          <w:sz w:val="22"/>
          <w:szCs w:val="22"/>
          <w:b w:val="1"/>
          <w:bCs w:val="1"/>
          <w:color w:val="auto"/>
        </w:rPr>
      </w:pPr>
      <w:r>
        <w:rPr>
          <w:rFonts w:ascii="Arial" w:cs="Arial" w:eastAsia="Arial" w:hAnsi="Arial"/>
          <w:sz w:val="22"/>
          <w:szCs w:val="22"/>
          <w:color w:val="auto"/>
        </w:rPr>
        <w:t>The Combined Therapy Trials shall be conducted under either (1) BioXcel’s existing IND as of the Effective Date for the BioXcel Compound (the “</w:t>
      </w:r>
      <w:r>
        <w:rPr>
          <w:rFonts w:ascii="Arial" w:cs="Arial" w:eastAsia="Arial" w:hAnsi="Arial"/>
          <w:sz w:val="22"/>
          <w:szCs w:val="22"/>
          <w:b w:val="1"/>
          <w:bCs w:val="1"/>
          <w:i w:val="1"/>
          <w:iCs w:val="1"/>
          <w:color w:val="auto"/>
        </w:rPr>
        <w:t>BioXcel IND</w:t>
      </w:r>
      <w:r>
        <w:rPr>
          <w:rFonts w:ascii="Arial" w:cs="Arial" w:eastAsia="Arial" w:hAnsi="Arial"/>
          <w:sz w:val="22"/>
          <w:szCs w:val="22"/>
          <w:color w:val="auto"/>
        </w:rPr>
        <w:t>”) or (2) a new IND, for which BioXcel will be the sponsor of record (the “</w:t>
      </w:r>
      <w:r>
        <w:rPr>
          <w:rFonts w:ascii="Arial" w:cs="Arial" w:eastAsia="Arial" w:hAnsi="Arial"/>
          <w:sz w:val="22"/>
          <w:szCs w:val="22"/>
          <w:b w:val="1"/>
          <w:bCs w:val="1"/>
          <w:i w:val="1"/>
          <w:iCs w:val="1"/>
          <w:color w:val="auto"/>
        </w:rPr>
        <w:t>Combined Therapy IND</w:t>
      </w:r>
      <w:r>
        <w:rPr>
          <w:rFonts w:ascii="Arial" w:cs="Arial" w:eastAsia="Arial" w:hAnsi="Arial"/>
          <w:sz w:val="22"/>
          <w:szCs w:val="22"/>
          <w:color w:val="auto"/>
        </w:rPr>
        <w:t>”).</w:t>
      </w:r>
    </w:p>
    <w:p>
      <w:pPr>
        <w:spacing w:after="0" w:line="186" w:lineRule="exact"/>
        <w:rPr>
          <w:rFonts w:ascii="Arial" w:cs="Arial" w:eastAsia="Arial" w:hAnsi="Arial"/>
          <w:sz w:val="22"/>
          <w:szCs w:val="22"/>
          <w:b w:val="1"/>
          <w:bCs w:val="1"/>
          <w:color w:val="auto"/>
        </w:rPr>
      </w:pPr>
    </w:p>
    <w:p>
      <w:pPr>
        <w:jc w:val="both"/>
        <w:ind w:firstLine="1944"/>
        <w:spacing w:after="0" w:line="247" w:lineRule="auto"/>
        <w:tabs>
          <w:tab w:leader="none" w:pos="2891" w:val="left"/>
        </w:tabs>
        <w:numPr>
          <w:ilvl w:val="1"/>
          <w:numId w:val="46"/>
        </w:numPr>
        <w:rPr>
          <w:rFonts w:ascii="Arial" w:cs="Arial" w:eastAsia="Arial" w:hAnsi="Arial"/>
          <w:sz w:val="21"/>
          <w:szCs w:val="21"/>
          <w:b w:val="1"/>
          <w:bCs w:val="1"/>
          <w:color w:val="auto"/>
        </w:rPr>
      </w:pPr>
      <w:r>
        <w:rPr>
          <w:rFonts w:ascii="Arial" w:cs="Arial" w:eastAsia="Arial" w:hAnsi="Arial"/>
          <w:sz w:val="21"/>
          <w:szCs w:val="21"/>
          <w:u w:val="single" w:color="auto"/>
          <w:color w:val="auto"/>
        </w:rPr>
        <w:t>BioXcel IND.</w:t>
      </w:r>
      <w:r>
        <w:rPr>
          <w:rFonts w:ascii="Arial" w:cs="Arial" w:eastAsia="Arial" w:hAnsi="Arial"/>
          <w:sz w:val="21"/>
          <w:szCs w:val="21"/>
          <w:color w:val="auto"/>
        </w:rPr>
        <w:t xml:space="preserve"> BioXcel shall have complete legal interest in and control of the BioXcel IND. In no event will BioXcel be required to obtain the consent of Nektar to transfer or encumber the BioXcel IND, and BioXcel shall not have any obligation to share with Nektar any consideration received in connection with the sale, license, use or other conveyance of the BioXcel IND. BioXcel shall have complete control as to any Right of Cross-Reference granted by BioXcel to a Third Party with respect to any portion of the BioXcel IND relating to the BioXcel Compound for use as monotherapy or for use in combination with any other molecules (other than for use with the Nektar Compound).</w:t>
      </w:r>
    </w:p>
    <w:p>
      <w:pPr>
        <w:spacing w:after="0" w:line="178" w:lineRule="exact"/>
        <w:rPr>
          <w:rFonts w:ascii="Arial" w:cs="Arial" w:eastAsia="Arial" w:hAnsi="Arial"/>
          <w:sz w:val="21"/>
          <w:szCs w:val="21"/>
          <w:b w:val="1"/>
          <w:bCs w:val="1"/>
          <w:color w:val="auto"/>
        </w:rPr>
      </w:pPr>
    </w:p>
    <w:p>
      <w:pPr>
        <w:jc w:val="both"/>
        <w:ind w:firstLine="1944"/>
        <w:spacing w:after="0" w:line="270" w:lineRule="auto"/>
        <w:tabs>
          <w:tab w:leader="none" w:pos="2627" w:val="left"/>
        </w:tabs>
        <w:numPr>
          <w:ilvl w:val="1"/>
          <w:numId w:val="46"/>
        </w:numPr>
        <w:rPr>
          <w:rFonts w:ascii="Arial" w:cs="Arial" w:eastAsia="Arial" w:hAnsi="Arial"/>
          <w:sz w:val="19"/>
          <w:szCs w:val="19"/>
          <w:b w:val="1"/>
          <w:bCs w:val="1"/>
          <w:color w:val="auto"/>
        </w:rPr>
      </w:pPr>
      <w:r>
        <w:rPr>
          <w:rFonts w:ascii="Arial" w:cs="Arial" w:eastAsia="Arial" w:hAnsi="Arial"/>
          <w:sz w:val="19"/>
          <w:szCs w:val="19"/>
          <w:u w:val="single" w:color="auto"/>
          <w:color w:val="auto"/>
        </w:rPr>
        <w:t>Combined Therapy IND.</w:t>
      </w:r>
      <w:r>
        <w:rPr>
          <w:rFonts w:ascii="Arial" w:cs="Arial" w:eastAsia="Arial" w:hAnsi="Arial"/>
          <w:sz w:val="19"/>
          <w:szCs w:val="19"/>
          <w:color w:val="auto"/>
        </w:rPr>
        <w:t xml:space="preserve"> Each Party shall have a beneficial one-half interest in such Combined Therapy IND;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 in no event will either Party be required to obtain the consent of the other Party to transfer or encumber its interest in the Combined Therapy IND;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the transferee or encumbrance holder agrees to abide by the terms and conditions of this Agreement, (b) any transfer occurs only in connection with, and to the same transferee of, a transfer of all of a Party’s rights in its Single Agent Compound, and (c) each Party provide written notice of such transfer or encumbrance to the other Party within thirty (30) calendar days of such transfer or encumbrance; (ii) BioXcel shall be the sole holder of all legal interests in the Combined Therapy IND, and neither Party shall have any obligation to share with the other Party any consideration received in connection with the sale, license or use of its interest in the Combined Therapy IND where permitted by this Agreement; and (iii) neither Party shall be permitted to grant any third Person any Right of Cross-Reference with respect to any portion of the Combined Therapy IND relating to the other Party’s Single Agent Compound for use as monotherapy or for use in combination with any other molecules (other than for use with NKTR-214, in the case of Nektar, or BXCL701, in the case of BioXcel, in each case as permitted by this Agreement), except as required by a governmental authority. Each Party shall provide a Right of Cross-Reference to its existing respective IND for its respective Single Agent Compound as necessary to allow the Combined Therapy Trials to be conducted under the Combined Therapy IND. The Parties shall discuss the approach for obtaining for BioXcel a Right of Cross-Reference to the CPI Compound as necessary to allow the Combined Therapy Trials to be conducted under the Combined Therapy IND. For the avoidance of doubt, each Party shall be responsible for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1" w:name="page82"/>
    <w:bookmarkEnd w:id="81"/>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ind w:left="321" w:hanging="321"/>
        <w:spacing w:after="0"/>
        <w:tabs>
          <w:tab w:leader="none" w:pos="321" w:val="left"/>
        </w:tabs>
        <w:numPr>
          <w:ilvl w:val="0"/>
          <w:numId w:val="47"/>
        </w:numPr>
        <w:rPr>
          <w:rFonts w:ascii="Arial" w:cs="Arial" w:eastAsia="Arial" w:hAnsi="Arial"/>
          <w:sz w:val="19"/>
          <w:szCs w:val="19"/>
          <w:color w:val="auto"/>
        </w:rPr>
      </w:pPr>
      <w:r>
        <w:rPr>
          <w:rFonts w:ascii="Arial" w:cs="Arial" w:eastAsia="Arial" w:hAnsi="Arial"/>
          <w:sz w:val="19"/>
          <w:szCs w:val="19"/>
          <w:color w:val="auto"/>
        </w:rPr>
        <w:t>drafting and updating as necessary the investigator’s brochure for its respective Single Agent Compound, and</w:t>
      </w:r>
    </w:p>
    <w:p>
      <w:pPr>
        <w:spacing w:after="0" w:line="42" w:lineRule="exact"/>
        <w:rPr>
          <w:rFonts w:ascii="Arial" w:cs="Arial" w:eastAsia="Arial" w:hAnsi="Arial"/>
          <w:sz w:val="19"/>
          <w:szCs w:val="19"/>
          <w:color w:val="auto"/>
        </w:rPr>
      </w:pPr>
    </w:p>
    <w:p>
      <w:pPr>
        <w:jc w:val="both"/>
        <w:ind w:left="1" w:hanging="1"/>
        <w:spacing w:after="0" w:line="234" w:lineRule="auto"/>
        <w:tabs>
          <w:tab w:leader="none" w:pos="324" w:val="left"/>
        </w:tabs>
        <w:numPr>
          <w:ilvl w:val="0"/>
          <w:numId w:val="47"/>
        </w:numPr>
        <w:rPr>
          <w:rFonts w:ascii="Arial" w:cs="Arial" w:eastAsia="Arial" w:hAnsi="Arial"/>
          <w:sz w:val="22"/>
          <w:szCs w:val="22"/>
          <w:color w:val="auto"/>
        </w:rPr>
      </w:pPr>
      <w:r>
        <w:rPr>
          <w:rFonts w:ascii="Arial" w:cs="Arial" w:eastAsia="Arial" w:hAnsi="Arial"/>
          <w:sz w:val="22"/>
          <w:szCs w:val="22"/>
          <w:color w:val="auto"/>
        </w:rPr>
        <w:t>filing all necessary Regulatory Documentation to the existing IND for its respective Single Agent Compound, including the submission to such existing IND of serious adverse event and adverse drug reaction cases emerging from any Combined Therapy Trial.</w:t>
      </w:r>
    </w:p>
    <w:p>
      <w:pPr>
        <w:spacing w:after="0" w:line="187" w:lineRule="exact"/>
        <w:rPr>
          <w:rFonts w:ascii="Arial" w:cs="Arial" w:eastAsia="Arial" w:hAnsi="Arial"/>
          <w:sz w:val="22"/>
          <w:szCs w:val="22"/>
          <w:color w:val="auto"/>
        </w:rPr>
      </w:pPr>
    </w:p>
    <w:p>
      <w:pPr>
        <w:ind w:left="1921" w:hanging="624"/>
        <w:spacing w:after="0"/>
        <w:tabs>
          <w:tab w:leader="none" w:pos="1921" w:val="left"/>
        </w:tabs>
        <w:numPr>
          <w:ilvl w:val="1"/>
          <w:numId w:val="47"/>
        </w:numPr>
        <w:rPr>
          <w:rFonts w:ascii="Arial" w:cs="Arial" w:eastAsia="Arial" w:hAnsi="Arial"/>
          <w:sz w:val="22"/>
          <w:szCs w:val="22"/>
          <w:b w:val="1"/>
          <w:bCs w:val="1"/>
          <w:color w:val="auto"/>
        </w:rPr>
      </w:pPr>
      <w:r>
        <w:rPr>
          <w:rFonts w:ascii="Arial" w:cs="Arial" w:eastAsia="Arial" w:hAnsi="Arial"/>
          <w:sz w:val="22"/>
          <w:szCs w:val="22"/>
          <w:i w:val="1"/>
          <w:iCs w:val="1"/>
          <w:color w:val="auto"/>
        </w:rPr>
        <w:t>Information to be Provided by BioXcel.</w:t>
      </w:r>
    </w:p>
    <w:p>
      <w:pPr>
        <w:spacing w:after="0" w:line="206" w:lineRule="exact"/>
        <w:rPr>
          <w:rFonts w:ascii="Arial" w:cs="Arial" w:eastAsia="Arial" w:hAnsi="Arial"/>
          <w:sz w:val="22"/>
          <w:szCs w:val="22"/>
          <w:b w:val="1"/>
          <w:bCs w:val="1"/>
          <w:color w:val="auto"/>
        </w:rPr>
      </w:pPr>
    </w:p>
    <w:p>
      <w:pPr>
        <w:jc w:val="both"/>
        <w:ind w:left="1" w:firstLine="1944"/>
        <w:spacing w:after="0" w:line="269" w:lineRule="auto"/>
        <w:tabs>
          <w:tab w:leader="none" w:pos="3203" w:val="left"/>
        </w:tabs>
        <w:numPr>
          <w:ilvl w:val="2"/>
          <w:numId w:val="47"/>
        </w:numPr>
        <w:rPr>
          <w:rFonts w:ascii="Arial" w:cs="Arial" w:eastAsia="Arial" w:hAnsi="Arial"/>
          <w:sz w:val="19"/>
          <w:szCs w:val="19"/>
          <w:b w:val="1"/>
          <w:bCs w:val="1"/>
          <w:color w:val="auto"/>
        </w:rPr>
      </w:pPr>
      <w:r>
        <w:rPr>
          <w:rFonts w:ascii="Arial" w:cs="Arial" w:eastAsia="Arial" w:hAnsi="Arial"/>
          <w:sz w:val="19"/>
          <w:szCs w:val="19"/>
          <w:color w:val="auto"/>
        </w:rPr>
        <w:t>BioXcel shall provide Nektar with the following relating to the BioXcel Compound: (i) the latest investigator’s brochure (and annual updates), list of ongoing clinical studies and clinically relevant safety information that emerges from other clinical studies, in each case within ten (10) Business Days (or as soon as reasonably practicable) after general distribution of final versions of such documents within BioXcel, and further to the extent any applicable confidentiality obligations relating to other combination therapy trials involving the BioXcel Compound and a Third Party’s compound do not prevent BioXcel from sharing such documents with Nektar, (ii) reasonably prompt notice of any material safety related communications with any Regulatory Authority and the substance of such communications regarding any clinical trials of the BioXcel Compound during the Term;</w:t>
      </w:r>
    </w:p>
    <w:p>
      <w:pPr>
        <w:spacing w:after="0" w:line="3" w:lineRule="exact"/>
        <w:rPr>
          <w:rFonts w:ascii="Arial" w:cs="Arial" w:eastAsia="Arial" w:hAnsi="Arial"/>
          <w:sz w:val="19"/>
          <w:szCs w:val="19"/>
          <w:b w:val="1"/>
          <w:bCs w:val="1"/>
          <w:color w:val="auto"/>
        </w:rPr>
      </w:pPr>
    </w:p>
    <w:p>
      <w:pPr>
        <w:ind w:left="441" w:hanging="441"/>
        <w:spacing w:after="0" w:line="230" w:lineRule="auto"/>
        <w:tabs>
          <w:tab w:leader="none" w:pos="441"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summary of all new clinically relevant toxicology study data on the BioXcel Compound within ten</w:t>
      </w:r>
    </w:p>
    <w:p>
      <w:pPr>
        <w:spacing w:after="0" w:line="1" w:lineRule="exact"/>
        <w:rPr>
          <w:sz w:val="20"/>
          <w:szCs w:val="20"/>
          <w:color w:val="auto"/>
        </w:rPr>
      </w:pPr>
    </w:p>
    <w:p>
      <w:pPr>
        <w:jc w:val="both"/>
        <w:ind w:left="1" w:hanging="1"/>
        <w:spacing w:after="0" w:line="267" w:lineRule="auto"/>
        <w:tabs>
          <w:tab w:leader="none" w:pos="531" w:val="left"/>
        </w:tabs>
        <w:numPr>
          <w:ilvl w:val="0"/>
          <w:numId w:val="49"/>
        </w:numPr>
        <w:rPr>
          <w:rFonts w:ascii="Arial" w:cs="Arial" w:eastAsia="Arial" w:hAnsi="Arial"/>
          <w:sz w:val="19"/>
          <w:szCs w:val="19"/>
          <w:color w:val="auto"/>
        </w:rPr>
      </w:pPr>
      <w:r>
        <w:rPr>
          <w:rFonts w:ascii="Arial" w:cs="Arial" w:eastAsia="Arial" w:hAnsi="Arial"/>
          <w:sz w:val="19"/>
          <w:szCs w:val="19"/>
          <w:color w:val="auto"/>
        </w:rPr>
        <w:t>Business Days (or as soon as reasonably practicable) after generation within BioXcel; and (iv) Aggregate Safety Information from all other clinical trials of the BioXcel Compound (if not provided elsewhere) on an annual basis or as otherwise agreed to by the JDC. Nektar shall use any such data provided pursuant to this Section 2.1(c)</w:t>
      </w:r>
    </w:p>
    <w:p>
      <w:pPr>
        <w:ind w:left="1"/>
        <w:spacing w:after="0" w:line="237" w:lineRule="auto"/>
        <w:rPr>
          <w:rFonts w:ascii="Arial" w:cs="Arial" w:eastAsia="Arial" w:hAnsi="Arial"/>
          <w:sz w:val="19"/>
          <w:szCs w:val="19"/>
          <w:color w:val="auto"/>
        </w:rPr>
      </w:pPr>
      <w:r>
        <w:rPr>
          <w:rFonts w:ascii="Arial" w:cs="Arial" w:eastAsia="Arial" w:hAnsi="Arial"/>
          <w:sz w:val="22"/>
          <w:szCs w:val="22"/>
          <w:color w:val="auto"/>
        </w:rPr>
        <w:t>(i) solely to evaluate the safety of (x) the BioXcel Compound for use in the Combined Therapy Trials and (y) the Combined Therapy. All such disclosures are Confidential Information of BioXcel.</w:t>
      </w:r>
    </w:p>
    <w:p>
      <w:pPr>
        <w:spacing w:after="0" w:line="184" w:lineRule="exact"/>
        <w:rPr>
          <w:rFonts w:ascii="Arial" w:cs="Arial" w:eastAsia="Arial" w:hAnsi="Arial"/>
          <w:sz w:val="19"/>
          <w:szCs w:val="19"/>
          <w:color w:val="auto"/>
        </w:rPr>
      </w:pPr>
    </w:p>
    <w:p>
      <w:pPr>
        <w:jc w:val="both"/>
        <w:ind w:left="1" w:firstLine="1944"/>
        <w:spacing w:after="0" w:line="273" w:lineRule="auto"/>
        <w:tabs>
          <w:tab w:leader="none" w:pos="2655" w:val="left"/>
        </w:tabs>
        <w:numPr>
          <w:ilvl w:val="1"/>
          <w:numId w:val="49"/>
        </w:numPr>
        <w:rPr>
          <w:rFonts w:ascii="Arial" w:cs="Arial" w:eastAsia="Arial" w:hAnsi="Arial"/>
          <w:sz w:val="19"/>
          <w:szCs w:val="19"/>
          <w:b w:val="1"/>
          <w:bCs w:val="1"/>
          <w:color w:val="auto"/>
        </w:rPr>
      </w:pPr>
      <w:r>
        <w:rPr>
          <w:rFonts w:ascii="Arial" w:cs="Arial" w:eastAsia="Arial" w:hAnsi="Arial"/>
          <w:sz w:val="19"/>
          <w:szCs w:val="19"/>
          <w:color w:val="auto"/>
        </w:rPr>
        <w:t>BioXcel shall provide Nektar with safety analyses for each Combined Therapy Trial in accordance with the applicable Statistical Analysis Plan. Each Party shall use any such data provided pursuant to this Section 2.1(c)(ii) solely to evaluate the safety of (x) its own Compound for use in the Combined Therapy Trials,</w:t>
      </w:r>
    </w:p>
    <w:p>
      <w:pPr>
        <w:spacing w:after="0" w:line="1" w:lineRule="exact"/>
        <w:rPr>
          <w:rFonts w:ascii="Arial" w:cs="Arial" w:eastAsia="Arial" w:hAnsi="Arial"/>
          <w:sz w:val="19"/>
          <w:szCs w:val="19"/>
          <w:b w:val="1"/>
          <w:bCs w:val="1"/>
          <w:color w:val="auto"/>
        </w:rPr>
      </w:pPr>
    </w:p>
    <w:p>
      <w:pPr>
        <w:ind w:left="1"/>
        <w:spacing w:after="0" w:line="237" w:lineRule="auto"/>
        <w:rPr>
          <w:rFonts w:ascii="Arial" w:cs="Arial" w:eastAsia="Arial" w:hAnsi="Arial"/>
          <w:sz w:val="19"/>
          <w:szCs w:val="19"/>
          <w:b w:val="1"/>
          <w:bCs w:val="1"/>
          <w:color w:val="auto"/>
        </w:rPr>
      </w:pPr>
      <w:r>
        <w:rPr>
          <w:rFonts w:ascii="Arial" w:cs="Arial" w:eastAsia="Arial" w:hAnsi="Arial"/>
          <w:sz w:val="22"/>
          <w:szCs w:val="22"/>
          <w:color w:val="auto"/>
        </w:rPr>
        <w:t>(y) the Combined Therapy and (z) as permitted elsewhere in this Agreement. All such disclosures are Confidential Information of both Parties.</w:t>
      </w:r>
    </w:p>
    <w:p>
      <w:pPr>
        <w:spacing w:after="0" w:line="185" w:lineRule="exact"/>
        <w:rPr>
          <w:sz w:val="20"/>
          <w:szCs w:val="20"/>
          <w:color w:val="auto"/>
        </w:rPr>
      </w:pPr>
    </w:p>
    <w:p>
      <w:pPr>
        <w:jc w:val="both"/>
        <w:ind w:left="1" w:firstLine="1944"/>
        <w:spacing w:after="0" w:line="282" w:lineRule="auto"/>
        <w:tabs>
          <w:tab w:leader="none" w:pos="2675" w:val="left"/>
        </w:tabs>
        <w:numPr>
          <w:ilvl w:val="2"/>
          <w:numId w:val="50"/>
        </w:numPr>
        <w:rPr>
          <w:rFonts w:ascii="Arial" w:cs="Arial" w:eastAsia="Arial" w:hAnsi="Arial"/>
          <w:sz w:val="19"/>
          <w:szCs w:val="19"/>
          <w:b w:val="1"/>
          <w:bCs w:val="1"/>
          <w:color w:val="auto"/>
        </w:rPr>
      </w:pPr>
      <w:r>
        <w:rPr>
          <w:rFonts w:ascii="Arial" w:cs="Arial" w:eastAsia="Arial" w:hAnsi="Arial"/>
          <w:sz w:val="19"/>
          <w:szCs w:val="19"/>
          <w:color w:val="auto"/>
        </w:rPr>
        <w:t>BioXcel shall provide Nektar with safety analyses for the Nektar Compound and, if necessary for Nektar to comply with a contractual obligation existing as of the Effective Date, the CPI Compound, as monotherapy from each Combined Therapy Trial in accordance with the applicable Statistical Analysis Plan. Nektar may use such information relating to the Nektar Compound for any purpose, and all such information and data relating to the Nektar Compound, shall be Confidential Information of Nektar.</w:t>
      </w:r>
    </w:p>
    <w:p>
      <w:pPr>
        <w:spacing w:after="0" w:line="147" w:lineRule="exact"/>
        <w:rPr>
          <w:rFonts w:ascii="Arial" w:cs="Arial" w:eastAsia="Arial" w:hAnsi="Arial"/>
          <w:sz w:val="19"/>
          <w:szCs w:val="19"/>
          <w:b w:val="1"/>
          <w:bCs w:val="1"/>
          <w:color w:val="auto"/>
        </w:rPr>
      </w:pPr>
    </w:p>
    <w:p>
      <w:pPr>
        <w:jc w:val="both"/>
        <w:ind w:left="1" w:firstLine="1296"/>
        <w:spacing w:after="0" w:line="273" w:lineRule="auto"/>
        <w:tabs>
          <w:tab w:leader="none" w:pos="2075" w:val="left"/>
        </w:tabs>
        <w:numPr>
          <w:ilvl w:val="1"/>
          <w:numId w:val="51"/>
        </w:numPr>
        <w:rPr>
          <w:rFonts w:ascii="Arial" w:cs="Arial" w:eastAsia="Arial" w:hAnsi="Arial"/>
          <w:sz w:val="19"/>
          <w:szCs w:val="19"/>
          <w:b w:val="1"/>
          <w:bCs w:val="1"/>
          <w:color w:val="auto"/>
        </w:rPr>
      </w:pPr>
      <w:r>
        <w:rPr>
          <w:rFonts w:ascii="Arial" w:cs="Arial" w:eastAsia="Arial" w:hAnsi="Arial"/>
          <w:sz w:val="19"/>
          <w:szCs w:val="19"/>
          <w:i w:val="1"/>
          <w:iCs w:val="1"/>
          <w:color w:val="auto"/>
        </w:rPr>
        <w:t xml:space="preserve">Information to be Provided by Nektar. </w:t>
      </w:r>
      <w:r>
        <w:rPr>
          <w:rFonts w:ascii="Arial" w:cs="Arial" w:eastAsia="Arial" w:hAnsi="Arial"/>
          <w:sz w:val="19"/>
          <w:szCs w:val="19"/>
          <w:color w:val="auto"/>
        </w:rPr>
        <w:t>Nektar shall provide BioXcel with the following</w:t>
      </w:r>
      <w:r>
        <w:rPr>
          <w:rFonts w:ascii="Arial" w:cs="Arial" w:eastAsia="Arial" w:hAnsi="Arial"/>
          <w:sz w:val="19"/>
          <w:szCs w:val="19"/>
          <w:i w:val="1"/>
          <w:iCs w:val="1"/>
          <w:color w:val="auto"/>
        </w:rPr>
        <w:t xml:space="preserve"> </w:t>
      </w:r>
      <w:r>
        <w:rPr>
          <w:rFonts w:ascii="Arial" w:cs="Arial" w:eastAsia="Arial" w:hAnsi="Arial"/>
          <w:sz w:val="19"/>
          <w:szCs w:val="19"/>
          <w:color w:val="auto"/>
        </w:rPr>
        <w:t>relating to the Nektar Compound: (i) the latest investigator’s brochure (and annual updates), list of ongoing clinical studies and clinically relevant safety information that emerges from other clinical studies, in each case within ten</w:t>
      </w:r>
    </w:p>
    <w:p>
      <w:pPr>
        <w:spacing w:after="0" w:line="1" w:lineRule="exact"/>
        <w:rPr>
          <w:rFonts w:ascii="Arial" w:cs="Arial" w:eastAsia="Arial" w:hAnsi="Arial"/>
          <w:sz w:val="19"/>
          <w:szCs w:val="19"/>
          <w:b w:val="1"/>
          <w:bCs w:val="1"/>
          <w:color w:val="auto"/>
        </w:rPr>
      </w:pPr>
    </w:p>
    <w:p>
      <w:pPr>
        <w:ind w:left="1" w:hanging="1"/>
        <w:spacing w:after="0" w:line="237" w:lineRule="auto"/>
        <w:tabs>
          <w:tab w:leader="none" w:pos="552" w:val="left"/>
        </w:tabs>
        <w:numPr>
          <w:ilvl w:val="0"/>
          <w:numId w:val="52"/>
        </w:numPr>
        <w:rPr>
          <w:rFonts w:ascii="Arial" w:cs="Arial" w:eastAsia="Arial" w:hAnsi="Arial"/>
          <w:sz w:val="22"/>
          <w:szCs w:val="22"/>
          <w:color w:val="auto"/>
        </w:rPr>
      </w:pPr>
      <w:r>
        <w:rPr>
          <w:rFonts w:ascii="Arial" w:cs="Arial" w:eastAsia="Arial" w:hAnsi="Arial"/>
          <w:sz w:val="22"/>
          <w:szCs w:val="22"/>
          <w:color w:val="auto"/>
        </w:rPr>
        <w:t>Business Days (or as soon as reasonably practicable) after general distribution of final versions of such documents within Nektar, and further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82" w:name="page83"/>
    <w:bookmarkEnd w:id="8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to the extent any applicable confidentiality obligations relating to other combination therapy trials involving the Nektar Compound and/or a Third Party’s compound do not prevent Nektar from sharing such documents with BioXcel, (ii) reasonably prompt notice of any material safety related communications with any Regulatory Authority and the substance of such communications regarding any clinical trials of the Nektar Compound; (iii) a summary of all new clinically relevant toxicology study data on the Nektar Compound within ten (10) Business Days (or as soon as reasonably practicable) after generation within Nektar; and (iv) Aggregate Safety Information from all other clinical trials of the Nektar Compound (if not provided elsewhere) on an annual basis or as otherwise agreed to by the JDC. BioXcel shall use any such data provided pursuant to this Section 2.1(d) solely to evaluate the safety of (1) the Nektar Compound for use in the Combined Therapy Trials and (2) the Combined Therapy. As between BioXcel and Nektar, all such disclosures are Confidential Information of Nektar.</w:t>
      </w:r>
    </w:p>
    <w:p>
      <w:pPr>
        <w:spacing w:after="0" w:line="162" w:lineRule="exact"/>
        <w:rPr>
          <w:sz w:val="20"/>
          <w:szCs w:val="20"/>
          <w:color w:val="auto"/>
        </w:rPr>
      </w:pPr>
    </w:p>
    <w:p>
      <w:pPr>
        <w:jc w:val="both"/>
        <w:ind w:firstLine="1296"/>
        <w:spacing w:after="0" w:line="272" w:lineRule="auto"/>
        <w:tabs>
          <w:tab w:leader="none" w:pos="2171"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 xml:space="preserve">If further studies, including toxicity studies, are required or suggested by a Regulatory Authority as a prerequisite for conducting any of the Combined Therapy Trials, then the Parties agree to hold good faith discussions in a timely manner to agree upon a protocol for such studies, each of which will be considered a Combined Therapy Trial and conducted on substantially the same terms as set forth herein (including the cost-sharing provisions of Section 7.1);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Parties are unable to agree upon a protocol for such study or if the conduct of such study shall cause a delay deemed unsatisfactory by either Party, then any disputed matters precluding agreement shall be referred to the Executive Officers (or their respective designees) for resolution. If the Executive Officers are unable to reach resolution within ten (10) Business Days after such referral to them (and do not mutually agree to an extension of time to arrive at such resolution), then this Agreement shall automatically terminate following the conclusion of any then-active Combined Therapy Trial (unless and until the Protocol for such required/suggested study(ies) is finalized by mutual agreement prior to the completion of such Combined Therapy Trial) and the provisions of Section 12.8 shall apply to any such termination.</w:t>
      </w:r>
    </w:p>
    <w:p>
      <w:pPr>
        <w:spacing w:after="0" w:line="1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2.2 Safety Reporting – Safety Data Exchange Agreement. </w:t>
      </w:r>
      <w:r>
        <w:rPr>
          <w:rFonts w:ascii="Arial" w:cs="Arial" w:eastAsia="Arial" w:hAnsi="Arial"/>
          <w:sz w:val="19"/>
          <w:szCs w:val="19"/>
          <w:color w:val="auto"/>
        </w:rPr>
        <w:t>Within three (3) months of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or as soon as practicable thereafter, and in any event prior to Initiation of the first Combined Therapy Trial, the Parties (under the guidance of their respective safety departments, or equivalents thereof) shall define and finalize their respective responsibilities to protect patients and promote their well-being in connection with the use of the Nektar Compound and the BioXcel Compound in the framework of this Agreement, and to execute a “</w:t>
      </w:r>
      <w:r>
        <w:rPr>
          <w:rFonts w:ascii="Arial" w:cs="Arial" w:eastAsia="Arial" w:hAnsi="Arial"/>
          <w:sz w:val="19"/>
          <w:szCs w:val="19"/>
          <w:b w:val="1"/>
          <w:bCs w:val="1"/>
          <w:i w:val="1"/>
          <w:iCs w:val="1"/>
          <w:color w:val="auto"/>
        </w:rPr>
        <w:t>Safety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Data Exchange Agreement.</w:t>
      </w:r>
      <w:r>
        <w:rPr>
          <w:rFonts w:ascii="Arial" w:cs="Arial" w:eastAsia="Arial" w:hAnsi="Arial"/>
          <w:sz w:val="19"/>
          <w:szCs w:val="19"/>
          <w:color w:val="auto"/>
        </w:rPr>
        <w:t>” Such Safety Data Exchange Agreement shall include mutually acceptable procedures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the receipt, investigation, recordation, communication, and exchange (as between the Parties) of adverse event reports, pregnancy reports, and any other information concerning the safety of the Nektar Compound, the BioXcel Compound and the CPI Compound. Such procedures shall be in accordance with, and enable the Parties and their</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Affiliates, to fulfill, local and international regulatory reporting obligations to government authorities. Furthermore, such agreed procedures shall be consistent with relevant International Council for Harmonization (ICH) guidelines, except where said guidelines may conflict with existing local regulatory safety reporting requirements or Applicable Law, in which case local reporting requirements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3" w:name="page84"/>
    <w:bookmarkEnd w:id="83"/>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Applicable Law shall prevail. To the extent any provision set forth in the Safety Data Exchange Agreement conflicts with any provision in this Agreement, the provision set forth in the Safety Data Exchange Agreement shall control as related to the exchange and reporting of safety information associated with use of the Nektar Compound, the BioXcel Compound and the CPI Compound, as well as product safety surveillance. In the event that this Agreement is terminated, the Parties agree to implement the necessary procedures and practices to ensure that any outstanding pharmacovigilance reporting obligations are fulfilled.</w:t>
      </w:r>
    </w:p>
    <w:p>
      <w:pPr>
        <w:spacing w:after="0" w:line="14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2.3 Joint Development Committee. </w:t>
      </w:r>
      <w:r>
        <w:rPr>
          <w:rFonts w:ascii="Arial" w:cs="Arial" w:eastAsia="Arial" w:hAnsi="Arial"/>
          <w:sz w:val="19"/>
          <w:szCs w:val="19"/>
          <w:color w:val="auto"/>
        </w:rPr>
        <w:t>Promptly after the Effective Date the Parties shall form a Joint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Committee (the “</w:t>
      </w:r>
      <w:r>
        <w:rPr>
          <w:rFonts w:ascii="Arial" w:cs="Arial" w:eastAsia="Arial" w:hAnsi="Arial"/>
          <w:sz w:val="19"/>
          <w:szCs w:val="19"/>
          <w:b w:val="1"/>
          <w:bCs w:val="1"/>
          <w:i w:val="1"/>
          <w:iCs w:val="1"/>
          <w:color w:val="auto"/>
        </w:rPr>
        <w:t>JDC</w:t>
      </w:r>
      <w:r>
        <w:rPr>
          <w:rFonts w:ascii="Arial" w:cs="Arial" w:eastAsia="Arial" w:hAnsi="Arial"/>
          <w:sz w:val="19"/>
          <w:szCs w:val="19"/>
          <w:color w:val="auto"/>
        </w:rPr>
        <w:t>”). The JDC shall consist of an equal number of representatives of each Party. Each Party shall be responsible for determining the qualifications and substitutions of its JDC members. It is anticipated that each Party’s representatives may include experts in finance, clinical development, patient safety and regulatory affairs and CMC. The JDC shall be co-chaired with one chairperson designated by each Party (each, a “</w:t>
      </w:r>
      <w:r>
        <w:rPr>
          <w:rFonts w:ascii="Arial" w:cs="Arial" w:eastAsia="Arial" w:hAnsi="Arial"/>
          <w:sz w:val="19"/>
          <w:szCs w:val="19"/>
          <w:b w:val="1"/>
          <w:bCs w:val="1"/>
          <w:i w:val="1"/>
          <w:iCs w:val="1"/>
          <w:color w:val="auto"/>
        </w:rPr>
        <w:t>Co-Chair</w:t>
      </w:r>
      <w:r>
        <w:rPr>
          <w:rFonts w:ascii="Arial" w:cs="Arial" w:eastAsia="Arial" w:hAnsi="Arial"/>
          <w:sz w:val="19"/>
          <w:szCs w:val="19"/>
          <w:color w:val="auto"/>
        </w:rPr>
        <w:t>”). The JDC shall meet at least quarterly or at such other frequency as the JDC agrees (and it may appoint subteams to meet more frequently), provided that either Party through its Co-Chair may request a meeting of the JDC at any time upon five (5) Business Days notice to the other Party, with the understanding that the other Party will use reasonable efforts to comply with such request but such other Party will not be in breach of this Agreement in the event that it is unable to comply with such request but is using reasonable efforts to conduct a JDC meeting as promptly as practicable. JDC meetings shall be held by audio or video teleconference, or face-to-face, as agreed upon by the Parties; provided that face-to-face meetings shall alternate between Branford, CT and San Francisco, CA unless otherwise agreed upon by the Parties. There must be a minimum of two (2) representatives from each Party at any meeting of the JDC. No fewer than five (5) Business Days prior to each meeting, and in any event as soon as reasonably practicable, each Party shall use good faith efforts to disclose to the other Party any proposed agenda items together with appropriate supporting information. The JDC Co-Chairs shall alternate responsibility for preparing and circulating definitive minutes of each meeting of the JDC. Such minutes shall provide a description, in reasonable detail, of the discussions at the meeting, a list of material actions and decisions made by the JDC, a list of action items made by the JDC and a list of material issues not resolved by the JDC. The JDC Co-Chair who drafts the minutes shall provide the other Co-Chair and each Party’s Alliance Managers with the initial draft meeting minutes, who shall return the draft with any proposed changes, and this process shall be repeated until a final version of the meeting minutes is agreed upon and signed (or acknowledged as final via email) by the two Co-Chairs. The Parties shall reasonably cooperate to complete and agree upon a final version of meeting minutes within twenty (20) Business Days from the date of the relevant meeting. The final version of the meeting minutes shall be signed (or acknowledged as final via email) by the two Co-Chairs, and each Party shall be provided with a copy of the final meeting minutes for its safekeeping. A reasonable number of additional representatives of a Party may attend meetings of the JDC in advisory capacity with the prior written consent of the other Party; provided that any JDC meetings that includes representatives of either Party who are not JDC members may, at the request of any JDC member, include a closed session consisting of only JDC members and Alliance Managers. All representatives to the JDC or attending JDC meetings shall be subject to confidentiality and nonuse restrictions at least as restrictive as those set forth herein.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4" w:name="page85"/>
    <w:bookmarkEnd w:id="84"/>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b w:val="1"/>
          <w:bCs w:val="1"/>
          <w:color w:val="auto"/>
        </w:rPr>
        <w:t xml:space="preserve">2.4 Responsibilities of the Joint Development Committee. </w:t>
      </w:r>
      <w:r>
        <w:rPr>
          <w:rFonts w:ascii="Arial" w:cs="Arial" w:eastAsia="Arial" w:hAnsi="Arial"/>
          <w:sz w:val="21"/>
          <w:szCs w:val="21"/>
          <w:color w:val="auto"/>
        </w:rPr>
        <w:t>Each Party shall use Commercially</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Reasonable Efforts to keep the JDC informed about activities performed by that Party hereunder. The JDC (or in the absence of a formal JDC meeting the Co-Chairs) shall be responsible for the following:</w:t>
      </w:r>
    </w:p>
    <w:p>
      <w:pPr>
        <w:spacing w:after="0" w:line="164" w:lineRule="exact"/>
        <w:rPr>
          <w:sz w:val="20"/>
          <w:szCs w:val="20"/>
          <w:color w:val="auto"/>
        </w:rPr>
      </w:pPr>
    </w:p>
    <w:p>
      <w:pPr>
        <w:jc w:val="both"/>
        <w:ind w:firstLine="1296"/>
        <w:spacing w:after="0"/>
        <w:tabs>
          <w:tab w:leader="none" w:pos="1981"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overseeing the activities of the Parties with respect to the Combination Therapy Trials, and providing a forum for the Parties to discuss, monitor and coordinate all activities and communications regarding the Combined Therapy Trials;</w:t>
      </w:r>
    </w:p>
    <w:p>
      <w:pPr>
        <w:spacing w:after="0" w:line="186" w:lineRule="exact"/>
        <w:rPr>
          <w:rFonts w:ascii="Arial" w:cs="Arial" w:eastAsia="Arial" w:hAnsi="Arial"/>
          <w:sz w:val="22"/>
          <w:szCs w:val="22"/>
          <w:b w:val="1"/>
          <w:bCs w:val="1"/>
          <w:color w:val="auto"/>
        </w:rPr>
      </w:pPr>
    </w:p>
    <w:p>
      <w:pPr>
        <w:jc w:val="both"/>
        <w:ind w:firstLine="1296"/>
        <w:spacing w:after="0" w:line="236" w:lineRule="auto"/>
        <w:tabs>
          <w:tab w:leader="none" w:pos="2033"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prior to or contemporaneously with the approval of each Protocol, preparing (through the Finance Representatives of the Parties), discussing and approving a budget for each Combined Therapy Trial, and approving any material amendments to any previously approved budget, including reviewing and approving any costs for a given budget of a Combined Therapy Trial that are reasonably anticipated to be greater than ten percent (10%) of the JDC-approved budget;</w:t>
      </w:r>
    </w:p>
    <w:p>
      <w:pPr>
        <w:spacing w:after="0" w:line="187" w:lineRule="exact"/>
        <w:rPr>
          <w:rFonts w:ascii="Arial" w:cs="Arial" w:eastAsia="Arial" w:hAnsi="Arial"/>
          <w:sz w:val="22"/>
          <w:szCs w:val="22"/>
          <w:b w:val="1"/>
          <w:bCs w:val="1"/>
          <w:color w:val="auto"/>
        </w:rPr>
      </w:pPr>
    </w:p>
    <w:p>
      <w:pPr>
        <w:jc w:val="both"/>
        <w:ind w:firstLine="1296"/>
        <w:spacing w:after="0"/>
        <w:tabs>
          <w:tab w:leader="none" w:pos="1928"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reviewing (i) the progress of each Combined Therapy Trial, (ii) the proposed plan for medical monitoring and site audits (with BioXcel to take comments of the JDC members to such proposed plan into account) and (iii) the results of such medical monitoring and site audits;</w:t>
      </w:r>
    </w:p>
    <w:p>
      <w:pPr>
        <w:spacing w:after="0" w:line="186" w:lineRule="exact"/>
        <w:rPr>
          <w:rFonts w:ascii="Arial" w:cs="Arial" w:eastAsia="Arial" w:hAnsi="Arial"/>
          <w:sz w:val="22"/>
          <w:szCs w:val="22"/>
          <w:b w:val="1"/>
          <w:bCs w:val="1"/>
          <w:color w:val="auto"/>
        </w:rPr>
      </w:pPr>
    </w:p>
    <w:p>
      <w:pPr>
        <w:jc w:val="both"/>
        <w:ind w:firstLine="1296"/>
        <w:spacing w:after="0" w:line="297" w:lineRule="auto"/>
        <w:tabs>
          <w:tab w:leader="none" w:pos="2060"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reviewing and approving with respect to each Combined Therapy Trial (i) the applicable Protocol and the Statistical Analysis Plan, and any proposed substantive amendment thereto and (ii) the CRO Agreement(s) and, to the extent provided in Section 2.4(o), proposed material amendments thereto;</w:t>
      </w:r>
    </w:p>
    <w:p>
      <w:pPr>
        <w:spacing w:after="0" w:line="134" w:lineRule="exact"/>
        <w:rPr>
          <w:rFonts w:ascii="Arial" w:cs="Arial" w:eastAsia="Arial" w:hAnsi="Arial"/>
          <w:sz w:val="19"/>
          <w:szCs w:val="19"/>
          <w:b w:val="1"/>
          <w:bCs w:val="1"/>
          <w:color w:val="auto"/>
        </w:rPr>
      </w:pPr>
    </w:p>
    <w:p>
      <w:pPr>
        <w:ind w:firstLine="1296"/>
        <w:spacing w:after="0" w:line="251" w:lineRule="auto"/>
        <w:tabs>
          <w:tab w:leader="none" w:pos="2077"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reviewing and approving any immunogenicity analysis for each Combined Therapy Trial, including protocol and Entity to do the analysis;</w:t>
      </w:r>
    </w:p>
    <w:p>
      <w:pPr>
        <w:spacing w:after="0" w:line="173" w:lineRule="exact"/>
        <w:rPr>
          <w:rFonts w:ascii="Arial" w:cs="Arial" w:eastAsia="Arial" w:hAnsi="Arial"/>
          <w:sz w:val="22"/>
          <w:szCs w:val="22"/>
          <w:b w:val="1"/>
          <w:bCs w:val="1"/>
          <w:color w:val="auto"/>
        </w:rPr>
      </w:pPr>
    </w:p>
    <w:p>
      <w:pPr>
        <w:ind w:left="1940" w:hanging="644"/>
        <w:spacing w:after="0"/>
        <w:tabs>
          <w:tab w:leader="none" w:pos="1940"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reviewing and approving any Bioanalysis Plan not set forth in the Protocol, and any material</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amendments thereto;</w:t>
      </w:r>
    </w:p>
    <w:p>
      <w:pPr>
        <w:spacing w:after="0" w:line="188" w:lineRule="exact"/>
        <w:rPr>
          <w:rFonts w:ascii="Arial" w:cs="Arial" w:eastAsia="Arial" w:hAnsi="Arial"/>
          <w:sz w:val="19"/>
          <w:szCs w:val="19"/>
          <w:b w:val="1"/>
          <w:bCs w:val="1"/>
          <w:color w:val="auto"/>
        </w:rPr>
      </w:pPr>
    </w:p>
    <w:p>
      <w:pPr>
        <w:jc w:val="both"/>
        <w:ind w:firstLine="1296"/>
        <w:spacing w:after="0"/>
        <w:tabs>
          <w:tab w:leader="none" w:pos="2197"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reviewing and providing timely comments to proposed communication strategies and communications with any Regulatory Authority regarding the conduct of the Combined Therapy Trials and, if applicable, approving such proposed communications and communication strategies;</w:t>
      </w:r>
    </w:p>
    <w:p>
      <w:pPr>
        <w:spacing w:after="0" w:line="186" w:lineRule="exact"/>
        <w:rPr>
          <w:rFonts w:ascii="Arial" w:cs="Arial" w:eastAsia="Arial" w:hAnsi="Arial"/>
          <w:sz w:val="22"/>
          <w:szCs w:val="22"/>
          <w:b w:val="1"/>
          <w:bCs w:val="1"/>
          <w:color w:val="auto"/>
        </w:rPr>
      </w:pPr>
    </w:p>
    <w:p>
      <w:pPr>
        <w:ind w:firstLine="1296"/>
        <w:spacing w:after="0" w:line="251" w:lineRule="auto"/>
        <w:tabs>
          <w:tab w:leader="none" w:pos="1979"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approving any IND submitted for a Combined Therapy Trial, as well as reviewing material submissions to any such IND in accordance with Article 5;</w:t>
      </w:r>
    </w:p>
    <w:p>
      <w:pPr>
        <w:spacing w:after="0" w:line="173" w:lineRule="exact"/>
        <w:rPr>
          <w:rFonts w:ascii="Arial" w:cs="Arial" w:eastAsia="Arial" w:hAnsi="Arial"/>
          <w:sz w:val="22"/>
          <w:szCs w:val="22"/>
          <w:b w:val="1"/>
          <w:bCs w:val="1"/>
          <w:color w:val="auto"/>
        </w:rPr>
      </w:pPr>
    </w:p>
    <w:p>
      <w:pPr>
        <w:ind w:firstLine="1296"/>
        <w:spacing w:after="0" w:line="251" w:lineRule="auto"/>
        <w:tabs>
          <w:tab w:leader="none" w:pos="1960" w:val="left"/>
        </w:tabs>
        <w:numPr>
          <w:ilvl w:val="0"/>
          <w:numId w:val="54"/>
        </w:numPr>
        <w:rPr>
          <w:rFonts w:ascii="Arial" w:cs="Arial" w:eastAsia="Arial" w:hAnsi="Arial"/>
          <w:sz w:val="22"/>
          <w:szCs w:val="22"/>
          <w:b w:val="1"/>
          <w:bCs w:val="1"/>
          <w:color w:val="auto"/>
        </w:rPr>
      </w:pPr>
      <w:r>
        <w:rPr>
          <w:rFonts w:ascii="Arial" w:cs="Arial" w:eastAsia="Arial" w:hAnsi="Arial"/>
          <w:sz w:val="22"/>
          <w:szCs w:val="22"/>
          <w:color w:val="auto"/>
        </w:rPr>
        <w:t>reviewing any Combined Therapy Trial Regulatory Documentation, or portions thereof, that relate to the Combined Therapy, in accordance with Article 5;</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5" w:name="page86"/>
    <w:bookmarkEnd w:id="85"/>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firstLine="1296"/>
        <w:spacing w:after="0"/>
        <w:tabs>
          <w:tab w:leader="none" w:pos="1958"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subject to Section 2.6(d), agreeing on the final list of proposed clinical trial sites pursuant to Section 2.6(d), and agreeing on communications to clinical trial sites or IRBs relating to patient safety or early termination/cessation of a Combined Therapy Trial;</w:t>
      </w:r>
    </w:p>
    <w:p>
      <w:pPr>
        <w:spacing w:after="0" w:line="186" w:lineRule="exact"/>
        <w:rPr>
          <w:rFonts w:ascii="Arial" w:cs="Arial" w:eastAsia="Arial" w:hAnsi="Arial"/>
          <w:sz w:val="22"/>
          <w:szCs w:val="22"/>
          <w:b w:val="1"/>
          <w:bCs w:val="1"/>
          <w:color w:val="auto"/>
        </w:rPr>
      </w:pPr>
    </w:p>
    <w:p>
      <w:pPr>
        <w:jc w:val="both"/>
        <w:ind w:firstLine="1296"/>
        <w:spacing w:after="0" w:line="287" w:lineRule="auto"/>
        <w:tabs>
          <w:tab w:leader="none" w:pos="1939"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appointing working teams, including a clinical execution working team, to be made up of an equal number of representatives from each Party, that will hold telephone discussions at a mutually agreed-upon frequency to review clinical development, patient safety and regulatory issues that arise in the course of the Combined Therapy Trials, and delegating certain decision-making authority to such working teams;</w:t>
      </w:r>
    </w:p>
    <w:p>
      <w:pPr>
        <w:spacing w:after="0" w:line="143" w:lineRule="exact"/>
        <w:rPr>
          <w:rFonts w:ascii="Arial" w:cs="Arial" w:eastAsia="Arial" w:hAnsi="Arial"/>
          <w:sz w:val="19"/>
          <w:szCs w:val="19"/>
          <w:b w:val="1"/>
          <w:bCs w:val="1"/>
          <w:color w:val="auto"/>
        </w:rPr>
      </w:pPr>
    </w:p>
    <w:p>
      <w:pPr>
        <w:jc w:val="both"/>
        <w:ind w:firstLine="1296"/>
        <w:spacing w:after="0" w:line="297" w:lineRule="auto"/>
        <w:tabs>
          <w:tab w:leader="none" w:pos="1879" w:val="left"/>
        </w:tabs>
        <w:numPr>
          <w:ilvl w:val="0"/>
          <w:numId w:val="55"/>
        </w:numPr>
        <w:rPr>
          <w:rFonts w:ascii="Arial" w:cs="Arial" w:eastAsia="Arial" w:hAnsi="Arial"/>
          <w:sz w:val="19"/>
          <w:szCs w:val="19"/>
          <w:b w:val="1"/>
          <w:bCs w:val="1"/>
          <w:color w:val="auto"/>
        </w:rPr>
      </w:pPr>
      <w:r>
        <w:rPr>
          <w:rFonts w:ascii="Arial" w:cs="Arial" w:eastAsia="Arial" w:hAnsi="Arial"/>
          <w:sz w:val="19"/>
          <w:szCs w:val="19"/>
          <w:color w:val="auto"/>
        </w:rPr>
        <w:t>determining the quantities of BioXcel Compound, Nektar Compound, CPI Compound and any co-medications, necessary for the Combined Therapy Trials within a sufficient minimum lead time and coordinating the supply of such quantities by the respective Party in accordance with Article 4 and the Supply Agreement;</w:t>
      </w:r>
    </w:p>
    <w:p>
      <w:pPr>
        <w:spacing w:after="0" w:line="134" w:lineRule="exact"/>
        <w:rPr>
          <w:rFonts w:ascii="Arial" w:cs="Arial" w:eastAsia="Arial" w:hAnsi="Arial"/>
          <w:sz w:val="19"/>
          <w:szCs w:val="19"/>
          <w:b w:val="1"/>
          <w:bCs w:val="1"/>
          <w:color w:val="auto"/>
        </w:rPr>
      </w:pPr>
    </w:p>
    <w:p>
      <w:pPr>
        <w:jc w:val="both"/>
        <w:ind w:firstLine="1296"/>
        <w:spacing w:after="0" w:line="238" w:lineRule="auto"/>
        <w:tabs>
          <w:tab w:leader="none" w:pos="2147"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 xml:space="preserve">reviewing and approving, in advance, any additional analyses of, or that include, the Combined Therapy Study Data proposed by either Party that are not included in the Statistical Analysis Plan;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for clarity, such review and approval shall not apply to analyses by a Party of the monotherapy data</w:t>
      </w:r>
      <w:r>
        <w:rPr>
          <w:rFonts w:ascii="Arial" w:cs="Arial" w:eastAsia="Arial" w:hAnsi="Arial"/>
          <w:sz w:val="22"/>
          <w:szCs w:val="22"/>
          <w:i w:val="1"/>
          <w:iCs w:val="1"/>
          <w:color w:val="auto"/>
        </w:rPr>
        <w:t xml:space="preserve"> </w:t>
      </w:r>
      <w:r>
        <w:rPr>
          <w:rFonts w:ascii="Arial" w:cs="Arial" w:eastAsia="Arial" w:hAnsi="Arial"/>
          <w:sz w:val="22"/>
          <w:szCs w:val="22"/>
          <w:color w:val="auto"/>
        </w:rPr>
        <w:t>for its own Compound from a Combined Therapy Trial;</w:t>
      </w:r>
    </w:p>
    <w:p>
      <w:pPr>
        <w:spacing w:after="0" w:line="185" w:lineRule="exact"/>
        <w:rPr>
          <w:rFonts w:ascii="Arial" w:cs="Arial" w:eastAsia="Arial" w:hAnsi="Arial"/>
          <w:sz w:val="22"/>
          <w:szCs w:val="22"/>
          <w:b w:val="1"/>
          <w:bCs w:val="1"/>
          <w:color w:val="auto"/>
        </w:rPr>
      </w:pPr>
    </w:p>
    <w:p>
      <w:pPr>
        <w:ind w:firstLine="1296"/>
        <w:spacing w:after="0" w:line="251" w:lineRule="auto"/>
        <w:tabs>
          <w:tab w:leader="none" w:pos="2047"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reviewing and approving use of any Samples in accordance with Section 8.5 that are not described in the Protocol and ICF, so long as the JDC remains in force and effect;</w:t>
      </w:r>
    </w:p>
    <w:p>
      <w:pPr>
        <w:spacing w:after="0" w:line="173" w:lineRule="exact"/>
        <w:rPr>
          <w:rFonts w:ascii="Arial" w:cs="Arial" w:eastAsia="Arial" w:hAnsi="Arial"/>
          <w:sz w:val="22"/>
          <w:szCs w:val="22"/>
          <w:b w:val="1"/>
          <w:bCs w:val="1"/>
          <w:color w:val="auto"/>
        </w:rPr>
      </w:pPr>
    </w:p>
    <w:p>
      <w:pPr>
        <w:jc w:val="both"/>
        <w:ind w:firstLine="1296"/>
        <w:spacing w:after="0" w:line="236" w:lineRule="auto"/>
        <w:tabs>
          <w:tab w:leader="none" w:pos="2048"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for any CROs or Third Party contactors engaged after the Effective Date, reviewing and approving (1) the selection of any such CRO and Third Party contractor (other than individuals in a Party’s workforce who are engaged on an independent contractor basis) that has a material role in each Combined Therapy Trial pursuant to Section 2.6(d) and (2) the terms of any such CRO contract or pharmacovigilance contract (“</w:t>
      </w:r>
      <w:r>
        <w:rPr>
          <w:rFonts w:ascii="Arial" w:cs="Arial" w:eastAsia="Arial" w:hAnsi="Arial"/>
          <w:sz w:val="22"/>
          <w:szCs w:val="22"/>
          <w:b w:val="1"/>
          <w:bCs w:val="1"/>
          <w:i w:val="1"/>
          <w:iCs w:val="1"/>
          <w:color w:val="auto"/>
        </w:rPr>
        <w:t>CRO</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with a Third Party;</w:t>
      </w:r>
    </w:p>
    <w:p>
      <w:pPr>
        <w:spacing w:after="0" w:line="187" w:lineRule="exact"/>
        <w:rPr>
          <w:rFonts w:ascii="Arial" w:cs="Arial" w:eastAsia="Arial" w:hAnsi="Arial"/>
          <w:sz w:val="22"/>
          <w:szCs w:val="22"/>
          <w:b w:val="1"/>
          <w:bCs w:val="1"/>
          <w:color w:val="auto"/>
        </w:rPr>
      </w:pPr>
    </w:p>
    <w:p>
      <w:pPr>
        <w:ind w:firstLine="1296"/>
        <w:spacing w:after="0" w:line="251" w:lineRule="auto"/>
        <w:tabs>
          <w:tab w:leader="none" w:pos="206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reviewing and approving the template ICF form, template case report form and template clinical site study agreement to be used in a given Combined Therapy Trial;</w:t>
      </w:r>
    </w:p>
    <w:p>
      <w:pPr>
        <w:spacing w:after="0" w:line="173" w:lineRule="exact"/>
        <w:rPr>
          <w:rFonts w:ascii="Arial" w:cs="Arial" w:eastAsia="Arial" w:hAnsi="Arial"/>
          <w:sz w:val="22"/>
          <w:szCs w:val="22"/>
          <w:b w:val="1"/>
          <w:bCs w:val="1"/>
          <w:color w:val="auto"/>
        </w:rPr>
      </w:pPr>
    </w:p>
    <w:p>
      <w:pPr>
        <w:jc w:val="both"/>
        <w:ind w:firstLine="1296"/>
        <w:spacing w:after="0"/>
        <w:tabs>
          <w:tab w:leader="none" w:pos="1885"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reviewing and approving any changes that clinical sites or IRBs propose to the risk sections of any ICF describing adverse effects of the Nektar Compound, either alone or in combination with the BioXcel Compound and/or the CPI Compound;</w:t>
      </w:r>
    </w:p>
    <w:p>
      <w:pPr>
        <w:spacing w:after="0" w:line="186" w:lineRule="exact"/>
        <w:rPr>
          <w:rFonts w:ascii="Arial" w:cs="Arial" w:eastAsia="Arial" w:hAnsi="Arial"/>
          <w:sz w:val="22"/>
          <w:szCs w:val="22"/>
          <w:b w:val="1"/>
          <w:bCs w:val="1"/>
          <w:color w:val="auto"/>
        </w:rPr>
      </w:pPr>
    </w:p>
    <w:p>
      <w:pPr>
        <w:ind w:firstLine="1296"/>
        <w:spacing w:after="0" w:line="251" w:lineRule="auto"/>
        <w:tabs>
          <w:tab w:leader="none" w:pos="2185"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reviewing and approving the countries in which each Combined Therapy Trial will be conducted, as set forth in Section 2.6(d);</w:t>
      </w:r>
    </w:p>
    <w:p>
      <w:pPr>
        <w:spacing w:after="0" w:line="173" w:lineRule="exact"/>
        <w:rPr>
          <w:rFonts w:ascii="Arial" w:cs="Arial" w:eastAsia="Arial" w:hAnsi="Arial"/>
          <w:sz w:val="22"/>
          <w:szCs w:val="22"/>
          <w:b w:val="1"/>
          <w:bCs w:val="1"/>
          <w:color w:val="auto"/>
        </w:rPr>
      </w:pPr>
    </w:p>
    <w:p>
      <w:pPr>
        <w:ind w:firstLine="1296"/>
        <w:spacing w:after="0" w:line="251" w:lineRule="auto"/>
        <w:tabs>
          <w:tab w:leader="none" w:pos="1930"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approving the final clinical trial report (and/or final statistical analysis in accordance with the Statistical Analysis Plan) from each Combined Therapy Trial; and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6" w:name="page87"/>
    <w:bookmarkEnd w:id="86"/>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ind w:left="1" w:firstLine="1296"/>
        <w:spacing w:after="0" w:line="251" w:lineRule="auto"/>
        <w:tabs>
          <w:tab w:leader="none" w:pos="1905"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discussing any other topics or issues relating to the Combined Therapy Trials that either Party requests that cannot be resolved at the working team level.</w:t>
      </w:r>
    </w:p>
    <w:p>
      <w:pPr>
        <w:spacing w:after="0" w:line="167"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Joint Development Committee Authority</w:t>
      </w:r>
      <w:r>
        <w:rPr>
          <w:rFonts w:ascii="Arial" w:cs="Arial" w:eastAsia="Arial" w:hAnsi="Arial"/>
          <w:sz w:val="19"/>
          <w:szCs w:val="19"/>
          <w:color w:val="auto"/>
        </w:rPr>
        <w:t>.</w:t>
      </w:r>
    </w:p>
    <w:p>
      <w:pPr>
        <w:spacing w:after="0" w:line="212" w:lineRule="exact"/>
        <w:rPr>
          <w:sz w:val="20"/>
          <w:szCs w:val="20"/>
          <w:color w:val="auto"/>
        </w:rPr>
      </w:pPr>
    </w:p>
    <w:p>
      <w:pPr>
        <w:jc w:val="both"/>
        <w:ind w:left="1" w:firstLine="1296"/>
        <w:spacing w:after="0" w:line="238" w:lineRule="auto"/>
        <w:tabs>
          <w:tab w:leader="none" w:pos="2076" w:val="left"/>
        </w:tabs>
        <w:numPr>
          <w:ilvl w:val="1"/>
          <w:numId w:val="57"/>
        </w:numPr>
        <w:rPr>
          <w:rFonts w:ascii="Arial" w:cs="Arial" w:eastAsia="Arial" w:hAnsi="Arial"/>
          <w:sz w:val="22"/>
          <w:szCs w:val="22"/>
          <w:b w:val="1"/>
          <w:bCs w:val="1"/>
          <w:color w:val="auto"/>
        </w:rPr>
      </w:pPr>
      <w:r>
        <w:rPr>
          <w:rFonts w:ascii="Arial" w:cs="Arial" w:eastAsia="Arial" w:hAnsi="Arial"/>
          <w:sz w:val="22"/>
          <w:szCs w:val="22"/>
          <w:color w:val="auto"/>
        </w:rPr>
        <w:t>The JDC shall take action by unanimous consent, with each Party having a single vote, irrespective of the number of its representatives actually in attendance at a meeting. In the absence of a formal meeting, the Co-Chairs shall have decision-making authority for the JDC, so long as any decisions are documented as provided below.</w:t>
      </w:r>
    </w:p>
    <w:p>
      <w:pPr>
        <w:spacing w:after="0" w:line="185" w:lineRule="exact"/>
        <w:rPr>
          <w:rFonts w:ascii="Arial" w:cs="Arial" w:eastAsia="Arial" w:hAnsi="Arial"/>
          <w:sz w:val="22"/>
          <w:szCs w:val="22"/>
          <w:b w:val="1"/>
          <w:bCs w:val="1"/>
          <w:color w:val="auto"/>
        </w:rPr>
      </w:pPr>
    </w:p>
    <w:p>
      <w:pPr>
        <w:jc w:val="both"/>
        <w:ind w:left="1" w:firstLine="1296"/>
        <w:spacing w:after="0"/>
        <w:tabs>
          <w:tab w:leader="none" w:pos="2034" w:val="left"/>
        </w:tabs>
        <w:numPr>
          <w:ilvl w:val="1"/>
          <w:numId w:val="57"/>
        </w:numPr>
        <w:rPr>
          <w:rFonts w:ascii="Arial" w:cs="Arial" w:eastAsia="Arial" w:hAnsi="Arial"/>
          <w:sz w:val="22"/>
          <w:szCs w:val="22"/>
          <w:b w:val="1"/>
          <w:bCs w:val="1"/>
          <w:color w:val="auto"/>
        </w:rPr>
      </w:pPr>
      <w:r>
        <w:rPr>
          <w:rFonts w:ascii="Arial" w:cs="Arial" w:eastAsia="Arial" w:hAnsi="Arial"/>
          <w:sz w:val="22"/>
          <w:szCs w:val="22"/>
          <w:color w:val="auto"/>
        </w:rPr>
        <w:t xml:space="preserve">The JDC shall have the right to make only those determinations expressly enumerated as decisions of the JDC in this Agreement;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such determinations are documented in the written minutes signed (or acknowledged as final via email) by the JDC Co-Chairs.</w:t>
      </w:r>
    </w:p>
    <w:p>
      <w:pPr>
        <w:spacing w:after="0" w:line="186" w:lineRule="exact"/>
        <w:rPr>
          <w:rFonts w:ascii="Arial" w:cs="Arial" w:eastAsia="Arial" w:hAnsi="Arial"/>
          <w:sz w:val="22"/>
          <w:szCs w:val="22"/>
          <w:b w:val="1"/>
          <w:bCs w:val="1"/>
          <w:color w:val="auto"/>
        </w:rPr>
      </w:pPr>
    </w:p>
    <w:p>
      <w:pPr>
        <w:ind w:left="2061" w:hanging="764"/>
        <w:spacing w:after="0"/>
        <w:tabs>
          <w:tab w:leader="none" w:pos="2061" w:val="left"/>
        </w:tabs>
        <w:numPr>
          <w:ilvl w:val="1"/>
          <w:numId w:val="57"/>
        </w:numPr>
        <w:rPr>
          <w:rFonts w:ascii="Arial" w:cs="Arial" w:eastAsia="Arial" w:hAnsi="Arial"/>
          <w:sz w:val="19"/>
          <w:szCs w:val="19"/>
          <w:b w:val="1"/>
          <w:bCs w:val="1"/>
          <w:color w:val="auto"/>
        </w:rPr>
      </w:pPr>
      <w:r>
        <w:rPr>
          <w:rFonts w:ascii="Arial" w:cs="Arial" w:eastAsia="Arial" w:hAnsi="Arial"/>
          <w:sz w:val="19"/>
          <w:szCs w:val="19"/>
          <w:color w:val="auto"/>
        </w:rPr>
        <w:t>Notwithstanding anything to the contrary in this Agreement, the JDC will have no power</w:t>
      </w:r>
    </w:p>
    <w:p>
      <w:pPr>
        <w:spacing w:after="0" w:line="42" w:lineRule="exact"/>
        <w:rPr>
          <w:rFonts w:ascii="Arial" w:cs="Arial" w:eastAsia="Arial" w:hAnsi="Arial"/>
          <w:sz w:val="19"/>
          <w:szCs w:val="19"/>
          <w:b w:val="1"/>
          <w:bCs w:val="1"/>
          <w:color w:val="auto"/>
        </w:rPr>
      </w:pPr>
    </w:p>
    <w:p>
      <w:pPr>
        <w:jc w:val="both"/>
        <w:ind w:left="1" w:hanging="1"/>
        <w:spacing w:after="0" w:line="249" w:lineRule="auto"/>
        <w:tabs>
          <w:tab w:leader="none" w:pos="294" w:val="left"/>
        </w:tabs>
        <w:numPr>
          <w:ilvl w:val="0"/>
          <w:numId w:val="58"/>
        </w:numPr>
        <w:rPr>
          <w:rFonts w:ascii="Arial" w:cs="Arial" w:eastAsia="Arial" w:hAnsi="Arial"/>
          <w:sz w:val="21"/>
          <w:szCs w:val="21"/>
          <w:color w:val="auto"/>
        </w:rPr>
      </w:pPr>
      <w:r>
        <w:rPr>
          <w:rFonts w:ascii="Arial" w:cs="Arial" w:eastAsia="Arial" w:hAnsi="Arial"/>
          <w:sz w:val="21"/>
          <w:szCs w:val="21"/>
          <w:color w:val="auto"/>
        </w:rPr>
        <w:t>to amend this Agreement, the Quality Agreement or the Supply Agreement, or (ii) to modify either Party’s obligations with regard to the Combined Therapy Trials without such Party’s prior written consent; in each case, except by a writing (and that is not the minutes of a meeting) signed by both Parties.</w:t>
      </w:r>
    </w:p>
    <w:p>
      <w:pPr>
        <w:spacing w:after="0" w:line="170"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color w:val="auto"/>
        </w:rPr>
        <w:t>BioXcel Operational Authority Generally; Diligence Targets</w:t>
      </w:r>
      <w:r>
        <w:rPr>
          <w:rFonts w:ascii="Arial" w:cs="Arial" w:eastAsia="Arial" w:hAnsi="Arial"/>
          <w:sz w:val="19"/>
          <w:szCs w:val="19"/>
          <w:color w:val="auto"/>
        </w:rPr>
        <w:t>.</w:t>
      </w:r>
    </w:p>
    <w:p>
      <w:pPr>
        <w:spacing w:after="0" w:line="212" w:lineRule="exact"/>
        <w:rPr>
          <w:sz w:val="20"/>
          <w:szCs w:val="20"/>
          <w:color w:val="auto"/>
        </w:rPr>
      </w:pPr>
    </w:p>
    <w:p>
      <w:pPr>
        <w:jc w:val="both"/>
        <w:ind w:left="1" w:firstLine="1296"/>
        <w:spacing w:after="0" w:line="244" w:lineRule="exact"/>
        <w:tabs>
          <w:tab w:leader="none" w:pos="1914"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BioXcel shall, subject to the oversight and determinations of the JDC as provided in Sections 2.3 and 2.4, the terms of the applicable Combined Therapy Protocol, the decisions and guidance of applicable committee(s) and/or working teams, and applicable terms and conditions of this Agreement: (i) manage and be primarily responsible for the conduct of the Combined Therapy Trials; (ii) be the Sponsor and regulatory lead with respect to the Combined Therapy Trials; and (iii) as between the Parties, be the lead with respect to (1) the selection and management of clinical study sites (including budget negotiations with vendors, timelines and contingency planning), subject to Sections 5.1(a)(x) and 5.1(b)(vi) with respect to site selection and subject to Nektar’s consent as to the country(ies) where each Combined Therapy Trial will be conducted, (2) conducting clinical study start-up activities, communicating with and obtaining approval from institutional review boards and/or ethics committees, as applicable, and drafting for both Parties’ approval the template informed consent form (“</w:t>
      </w:r>
      <w:r>
        <w:rPr>
          <w:rFonts w:ascii="Arial" w:cs="Arial" w:eastAsia="Arial" w:hAnsi="Arial"/>
          <w:sz w:val="19"/>
          <w:szCs w:val="19"/>
          <w:b w:val="1"/>
          <w:bCs w:val="1"/>
          <w:i w:val="1"/>
          <w:iCs w:val="1"/>
          <w:color w:val="auto"/>
        </w:rPr>
        <w:t>ICF</w:t>
      </w:r>
      <w:r>
        <w:rPr>
          <w:rFonts w:ascii="Arial" w:cs="Arial" w:eastAsia="Arial" w:hAnsi="Arial"/>
          <w:sz w:val="19"/>
          <w:szCs w:val="19"/>
          <w:color w:val="auto"/>
        </w:rPr>
        <w:t>”) for each Combined Therapy Trial, (3) subject recruitment and retention activities, (4) ongoing site monitoring and quality assurance audits, (5) management of safety reporting by contract research organizations and clinical study sites, (6) ongoing medical monitoring, (7) management, monitoring and audits of CROs in connection with each CRO involved in the conduct of the Combined Therapy Trial, and (8) inquiries from clinical study subjects ((1)</w:t>
      </w:r>
      <w:r>
        <w:rPr>
          <w:rFonts w:ascii="MS PGothic" w:cs="MS PGothic" w:eastAsia="MS PGothic" w:hAnsi="MS PGothic"/>
          <w:sz w:val="19"/>
          <w:szCs w:val="19"/>
          <w:color w:val="auto"/>
        </w:rPr>
        <w:t>‑</w:t>
      </w:r>
      <w:r>
        <w:rPr>
          <w:rFonts w:ascii="Arial" w:cs="Arial" w:eastAsia="Arial" w:hAnsi="Arial"/>
          <w:sz w:val="19"/>
          <w:szCs w:val="19"/>
          <w:color w:val="auto"/>
        </w:rPr>
        <w:t>(8), collectively, the “</w:t>
      </w:r>
      <w:r>
        <w:rPr>
          <w:rFonts w:ascii="Arial" w:cs="Arial" w:eastAsia="Arial" w:hAnsi="Arial"/>
          <w:sz w:val="19"/>
          <w:szCs w:val="19"/>
          <w:b w:val="1"/>
          <w:bCs w:val="1"/>
          <w:i w:val="1"/>
          <w:iCs w:val="1"/>
          <w:color w:val="auto"/>
        </w:rPr>
        <w:t>Operational Matters</w:t>
      </w:r>
      <w:r>
        <w:rPr>
          <w:rFonts w:ascii="Arial" w:cs="Arial" w:eastAsia="Arial" w:hAnsi="Arial"/>
          <w:sz w:val="19"/>
          <w:szCs w:val="19"/>
          <w:color w:val="auto"/>
        </w:rPr>
        <w:t>”). BioXcel shall use Commercially Reasonable Efforts to perform such Operational Matters and to promptly commence and complete the Initial Trial. BioXcel shall use Commercially Reasonable Efforts to meet the following time goals for commencing and completing the Initial Trial: (A) enter into definitive agreements with the CRO and at least one (1) clinical site within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87" w:name="page88"/>
    <w:bookmarkEnd w:id="87"/>
    <w:p>
      <w:pPr>
        <w:jc w:val="both"/>
        <w:ind w:left="1" w:right="20"/>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right="20"/>
        <w:spacing w:after="0" w:line="270" w:lineRule="auto"/>
        <w:rPr>
          <w:sz w:val="20"/>
          <w:szCs w:val="20"/>
          <w:color w:val="auto"/>
        </w:rPr>
      </w:pPr>
      <w:r>
        <w:rPr>
          <w:rFonts w:ascii="Arial" w:cs="Arial" w:eastAsia="Arial" w:hAnsi="Arial"/>
          <w:sz w:val="19"/>
          <w:szCs w:val="19"/>
          <w:color w:val="auto"/>
        </w:rPr>
        <w:t>four (4) months of the Effective Date if both the CRO and the clinical site are listed on Exhibit C as of the Effective Date, or enter into the definitive agreements with the CRO and at least one (1) clinical site within four (4) months of JDC approval of the CRO and/or clinical site if either or both are not listed on Exhibit C as of the Effective Date; (B) initiate dosing of the first patient within ninety (90) days of the later of (i) IRB approval, and (ii) delivery of the Nektar Compound to the BioXcel clinical packaging site under the Supply Agreement; (C) enroll the last patient by the later of the following: (i) twenty-four (24) months following the Effective Date, and (ii) the target enrollment date set for the last patient established by the JDC; (D) achieve database lock by the target date established by the JDC; and (E) provide Nektar with the final study report within ninety (90) days of database lock ((A) – (E) collectively the “</w:t>
      </w:r>
      <w:r>
        <w:rPr>
          <w:rFonts w:ascii="Arial" w:cs="Arial" w:eastAsia="Arial" w:hAnsi="Arial"/>
          <w:sz w:val="19"/>
          <w:szCs w:val="19"/>
          <w:b w:val="1"/>
          <w:bCs w:val="1"/>
          <w:i w:val="1"/>
          <w:iCs w:val="1"/>
          <w:color w:val="auto"/>
        </w:rPr>
        <w:t>Diligence Targets</w:t>
      </w:r>
      <w:r>
        <w:rPr>
          <w:rFonts w:ascii="Arial" w:cs="Arial" w:eastAsia="Arial" w:hAnsi="Arial"/>
          <w:sz w:val="19"/>
          <w:szCs w:val="19"/>
          <w:color w:val="auto"/>
        </w:rPr>
        <w:t xml:space="preserve">” and each a </w:t>
      </w:r>
      <w:r>
        <w:rPr>
          <w:rFonts w:ascii="Arial" w:cs="Arial" w:eastAsia="Arial" w:hAnsi="Arial"/>
          <w:sz w:val="19"/>
          <w:szCs w:val="19"/>
          <w:b w:val="1"/>
          <w:bCs w:val="1"/>
          <w:i w:val="1"/>
          <w:iCs w:val="1"/>
          <w:color w:val="auto"/>
        </w:rPr>
        <w:t>Diligence Target</w:t>
      </w:r>
      <w:r>
        <w:rPr>
          <w:rFonts w:ascii="Arial" w:cs="Arial" w:eastAsia="Arial" w:hAnsi="Arial"/>
          <w:sz w:val="19"/>
          <w:szCs w:val="19"/>
          <w:color w:val="auto"/>
        </w:rPr>
        <w:t>”); provided that to the extent any circumstances arise that cause a delay in achieving any Diligence Target that are not within BioXcel’s control, the time periods for achieving such Diligence Target shall be extended for the period of time caused by such circumstance that was not within BioXcel’s control. The JDC shall set up a mechanism for Nektar or a working team of the JDC to be informed and updated on a timely periodic basis regarding Operational Matters, so that if Nektar has any concerns or disagreements regarding same, the matter can be escalated to the JDC for review. The Diligence Targets are aspirational and for planning purposes only and if it becomes apparent that during the course of this Agreement that any Diligence Target will not be achieved, other than as a result of BioXcel’s failure to use Commercially Reasonable Efforts to achieve the same, or BioXcel’s breach or negligence, the JDC shall discuss such Diligence Target and the JDC shall establish a reasonable extension of the timeline for achieving such Diligence Target.</w:t>
      </w:r>
    </w:p>
    <w:p>
      <w:pPr>
        <w:spacing w:after="0" w:line="200" w:lineRule="exact"/>
        <w:rPr>
          <w:sz w:val="20"/>
          <w:szCs w:val="20"/>
          <w:color w:val="auto"/>
        </w:rPr>
      </w:pPr>
    </w:p>
    <w:p>
      <w:pPr>
        <w:spacing w:after="0" w:line="211" w:lineRule="exact"/>
        <w:rPr>
          <w:sz w:val="20"/>
          <w:szCs w:val="20"/>
          <w:color w:val="auto"/>
        </w:rPr>
      </w:pPr>
    </w:p>
    <w:p>
      <w:pPr>
        <w:jc w:val="both"/>
        <w:ind w:left="1" w:right="20" w:firstLine="1296"/>
        <w:spacing w:after="0"/>
        <w:tabs>
          <w:tab w:leader="none" w:pos="2115"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Each Party shall be responsible for paying the full amount of any Third Party License Payments that it is obligated to pay pursuant to its agreement with a Third Party on account of the conduct of any Combined Therapy Trial and/or pursuant to Sections 4.1(a) and 4.2(a).</w:t>
      </w:r>
    </w:p>
    <w:p>
      <w:pPr>
        <w:spacing w:after="0" w:line="186" w:lineRule="exact"/>
        <w:rPr>
          <w:rFonts w:ascii="Arial" w:cs="Arial" w:eastAsia="Arial" w:hAnsi="Arial"/>
          <w:sz w:val="22"/>
          <w:szCs w:val="22"/>
          <w:b w:val="1"/>
          <w:bCs w:val="1"/>
          <w:color w:val="auto"/>
        </w:rPr>
      </w:pPr>
    </w:p>
    <w:p>
      <w:pPr>
        <w:ind w:left="1" w:right="20" w:firstLine="1296"/>
        <w:spacing w:after="0" w:line="251" w:lineRule="auto"/>
        <w:tabs>
          <w:tab w:leader="none" w:pos="2185"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BioXcel shall provide Nektar with access to the safety information and Study Data in accordance with Sections 5.1(a)(xvi) and 5.1(a)(xvii).</w:t>
      </w:r>
    </w:p>
    <w:p>
      <w:pPr>
        <w:spacing w:after="0" w:line="173" w:lineRule="exact"/>
        <w:rPr>
          <w:rFonts w:ascii="Arial" w:cs="Arial" w:eastAsia="Arial" w:hAnsi="Arial"/>
          <w:sz w:val="22"/>
          <w:szCs w:val="22"/>
          <w:b w:val="1"/>
          <w:bCs w:val="1"/>
          <w:color w:val="auto"/>
        </w:rPr>
      </w:pPr>
    </w:p>
    <w:p>
      <w:pPr>
        <w:jc w:val="both"/>
        <w:ind w:left="1" w:right="20" w:firstLine="1296"/>
        <w:spacing w:after="0" w:line="276" w:lineRule="auto"/>
        <w:tabs>
          <w:tab w:leader="none" w:pos="1913" w:val="left"/>
        </w:tabs>
        <w:numPr>
          <w:ilvl w:val="1"/>
          <w:numId w:val="60"/>
        </w:numPr>
        <w:rPr>
          <w:rFonts w:ascii="Arial" w:cs="Arial" w:eastAsia="Arial" w:hAnsi="Arial"/>
          <w:sz w:val="19"/>
          <w:szCs w:val="19"/>
          <w:b w:val="1"/>
          <w:bCs w:val="1"/>
          <w:color w:val="auto"/>
        </w:rPr>
      </w:pPr>
      <w:r>
        <w:rPr>
          <w:rFonts w:ascii="Arial" w:cs="Arial" w:eastAsia="Arial" w:hAnsi="Arial"/>
          <w:sz w:val="19"/>
          <w:szCs w:val="19"/>
          <w:color w:val="auto"/>
        </w:rPr>
        <w:t>Nektar acknowledges that BioXcel, prior to the Effective Date, has, solely with respect to the Initial Trial, (i) selected and entered into agreements with a certain CRO, investigators and Third Party contractors,</w:t>
      </w:r>
    </w:p>
    <w:p>
      <w:pPr>
        <w:spacing w:after="0" w:line="1" w:lineRule="exact"/>
        <w:rPr>
          <w:rFonts w:ascii="Arial" w:cs="Arial" w:eastAsia="Arial" w:hAnsi="Arial"/>
          <w:sz w:val="19"/>
          <w:szCs w:val="19"/>
          <w:b w:val="1"/>
          <w:bCs w:val="1"/>
          <w:color w:val="auto"/>
        </w:rPr>
      </w:pPr>
    </w:p>
    <w:p>
      <w:pPr>
        <w:ind w:left="321" w:hanging="321"/>
        <w:spacing w:after="0"/>
        <w:tabs>
          <w:tab w:leader="none" w:pos="321" w:val="left"/>
        </w:tabs>
        <w:numPr>
          <w:ilvl w:val="0"/>
          <w:numId w:val="61"/>
        </w:numPr>
        <w:rPr>
          <w:rFonts w:ascii="Arial" w:cs="Arial" w:eastAsia="Arial" w:hAnsi="Arial"/>
          <w:sz w:val="19"/>
          <w:szCs w:val="19"/>
          <w:color w:val="auto"/>
        </w:rPr>
      </w:pPr>
      <w:r>
        <w:rPr>
          <w:rFonts w:ascii="Arial" w:cs="Arial" w:eastAsia="Arial" w:hAnsi="Arial"/>
          <w:sz w:val="19"/>
          <w:szCs w:val="19"/>
          <w:color w:val="auto"/>
        </w:rPr>
        <w:t>identified a number of investigators and clinical trial sites, and (iii) completed study initiation visits, in each case</w:t>
      </w:r>
    </w:p>
    <w:p>
      <w:pPr>
        <w:spacing w:after="0" w:line="24" w:lineRule="exact"/>
        <w:rPr>
          <w:rFonts w:ascii="Arial" w:cs="Arial" w:eastAsia="Arial" w:hAnsi="Arial"/>
          <w:sz w:val="19"/>
          <w:szCs w:val="19"/>
          <w:color w:val="auto"/>
        </w:rPr>
      </w:pPr>
    </w:p>
    <w:p>
      <w:pPr>
        <w:jc w:val="both"/>
        <w:ind w:left="1" w:right="20" w:hanging="1"/>
        <w:spacing w:after="0" w:line="231" w:lineRule="auto"/>
        <w:tabs>
          <w:tab w:leader="none" w:pos="309"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 (iii) for the clinical trial sites listed on </w:t>
      </w:r>
      <w:r>
        <w:rPr>
          <w:rFonts w:ascii="Arial" w:cs="Arial" w:eastAsia="Arial" w:hAnsi="Arial"/>
          <w:sz w:val="22"/>
          <w:szCs w:val="22"/>
          <w:u w:val="single" w:color="auto"/>
          <w:color w:val="auto"/>
        </w:rPr>
        <w:t>Exhibit C</w:t>
      </w:r>
      <w:r>
        <w:rPr>
          <w:rFonts w:ascii="Arial" w:cs="Arial" w:eastAsia="Arial" w:hAnsi="Arial"/>
          <w:sz w:val="22"/>
          <w:szCs w:val="22"/>
          <w:color w:val="auto"/>
        </w:rPr>
        <w:t>, and Nektar approves of such clinical trial sites and CRO. Nektar acknowledges that the CRO Agreements and/or any other documents related to such CROs, investigators, Third Party contractors and clinical trial sites have been made available to Nektar prior to the Effective Date, and Nektar hereby approves the continuation of such agreements on their terms (including the budgets and pricing included therein), and hereby ratifies, on behalf of its appointees to the JDC, the decisions taken by BioXcel prior to the Effective Date that would otherwise be under the purview of the JDC pursuant to this Agreement. For any additional or change in CROs, investigators, Third Party contractors or clinical trial sites proposed after the Effective Date, BioXcel, after discussion with Nektar, will create and provide the JDC with a proposed list of potential clinical trial site(s), CROs, investigators (including IMS grant plan analysis and/or a model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8" w:right="899" w:bottom="1440" w:gutter="0" w:footer="0" w:header="0"/>
        </w:sectPr>
      </w:pPr>
    </w:p>
    <w:bookmarkStart w:id="88" w:name="page89"/>
    <w:bookmarkEnd w:id="88"/>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investigator grant budget) and Third Party contractors that may be used to conduct each Combined Therapy Trial, with the final list to be subject to JDC (or Co-Chairs) approval (such JDC-approved list being the “</w:t>
      </w:r>
      <w:r>
        <w:rPr>
          <w:rFonts w:ascii="Arial" w:cs="Arial" w:eastAsia="Arial" w:hAnsi="Arial"/>
          <w:sz w:val="21"/>
          <w:szCs w:val="21"/>
          <w:b w:val="1"/>
          <w:bCs w:val="1"/>
          <w:i w:val="1"/>
          <w:iCs w:val="1"/>
          <w:color w:val="auto"/>
        </w:rPr>
        <w:t>Site/CRO</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List</w:t>
      </w:r>
      <w:r>
        <w:rPr>
          <w:rFonts w:ascii="Arial" w:cs="Arial" w:eastAsia="Arial" w:hAnsi="Arial"/>
          <w:sz w:val="21"/>
          <w:szCs w:val="21"/>
          <w:color w:val="auto"/>
        </w:rPr>
        <w:t>”). Except as otherwise noted in this Section 2.6(d), the proposed Site/CRO List will be provided to the JDC</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prior to BioXcel initiating site selection negotiations or visits (for sites/investigators) or CRO negotiations (for CROs). BioXcel shall have the authority to select the final clinical trial sites, CROs, investigators and Third Party contractors from the Site/CRO List. In the event that additional sites, CROs, investigators or Third Party contractors need to be added after the initial list is approved, a new list will be created by BioXcel that includes the proposed new sites, CROs, investigators or Third Party contractors and such list will be provided to the JDC for approval by the JDC (or Co-Chairs) per this Section 2.6(d).</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2.7 Alliance Managers. </w:t>
      </w:r>
      <w:r>
        <w:rPr>
          <w:rFonts w:ascii="Arial" w:cs="Arial" w:eastAsia="Arial" w:hAnsi="Arial"/>
          <w:sz w:val="21"/>
          <w:szCs w:val="21"/>
          <w:color w:val="auto"/>
        </w:rPr>
        <w:t>Each of the Parties will appoint one representative to act as its Alliance</w:t>
      </w:r>
      <w:r>
        <w:rPr>
          <w:rFonts w:ascii="Arial" w:cs="Arial" w:eastAsia="Arial" w:hAnsi="Arial"/>
          <w:sz w:val="21"/>
          <w:szCs w:val="21"/>
          <w:b w:val="1"/>
          <w:bCs w:val="1"/>
          <w:color w:val="auto"/>
        </w:rPr>
        <w:t xml:space="preserve"> </w:t>
      </w:r>
      <w:r>
        <w:rPr>
          <w:rFonts w:ascii="Arial" w:cs="Arial" w:eastAsia="Arial" w:hAnsi="Arial"/>
          <w:sz w:val="21"/>
          <w:szCs w:val="21"/>
          <w:color w:val="auto"/>
        </w:rPr>
        <w:t>Manager (each, an “</w:t>
      </w:r>
      <w:r>
        <w:rPr>
          <w:rFonts w:ascii="Arial" w:cs="Arial" w:eastAsia="Arial" w:hAnsi="Arial"/>
          <w:sz w:val="21"/>
          <w:szCs w:val="21"/>
          <w:b w:val="1"/>
          <w:bCs w:val="1"/>
          <w:i w:val="1"/>
          <w:iCs w:val="1"/>
          <w:color w:val="auto"/>
        </w:rPr>
        <w:t>Alliance Manager</w:t>
      </w:r>
      <w:r>
        <w:rPr>
          <w:rFonts w:ascii="Arial" w:cs="Arial" w:eastAsia="Arial" w:hAnsi="Arial"/>
          <w:sz w:val="21"/>
          <w:szCs w:val="21"/>
          <w:color w:val="auto"/>
        </w:rPr>
        <w:t>”). The role of the Alliance Manager is to act as a primary point of contact between the Parties to assure a successful relationship between the Parties. The Alliance Managers will attend all meetings of the JDC and support the JDC in the discharge of its responsibilities. An Alliance Manager may bring any matter concerning a Party’s performance under this Agreement to the attention of the JDC if the Alliance Manager reasonably believes that such attention is warranted. Each Party may change its designated Alliance Manager from time to time upon written notice to the other Party. Any Alliance Manager may designate a substitute to temporarily perform the functions of such Alliance Manager upon written notice to the other Party’s Alliance Manager. Each Alliance Manager will be charged with creating and maintaining a collaborative work environment within the JDC. Each Alliance Manager also will:</w:t>
      </w:r>
    </w:p>
    <w:p>
      <w:pPr>
        <w:spacing w:after="0" w:line="182"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color w:val="auto"/>
        </w:rPr>
        <w:t>be the point of first referral in all matters of dispute resolution in accordance with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Section 13.3;</w:t>
      </w:r>
    </w:p>
    <w:p>
      <w:pPr>
        <w:spacing w:after="0" w:line="188" w:lineRule="exact"/>
        <w:rPr>
          <w:sz w:val="20"/>
          <w:szCs w:val="20"/>
          <w:color w:val="auto"/>
        </w:rPr>
      </w:pPr>
    </w:p>
    <w:p>
      <w:pPr>
        <w:ind w:firstLine="1296"/>
        <w:spacing w:after="0" w:line="251" w:lineRule="auto"/>
        <w:tabs>
          <w:tab w:leader="none" w:pos="1966"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provide a point of communication both internally within its respective Party’s organizations and between the Parties regarding the Combined Therapy Trials;</w:t>
      </w:r>
    </w:p>
    <w:p>
      <w:pPr>
        <w:spacing w:after="0" w:line="173" w:lineRule="exact"/>
        <w:rPr>
          <w:rFonts w:ascii="Arial" w:cs="Arial" w:eastAsia="Arial" w:hAnsi="Arial"/>
          <w:sz w:val="22"/>
          <w:szCs w:val="22"/>
          <w:b w:val="1"/>
          <w:bCs w:val="1"/>
          <w:color w:val="auto"/>
        </w:rPr>
      </w:pPr>
    </w:p>
    <w:p>
      <w:pPr>
        <w:ind w:left="1940" w:hanging="644"/>
        <w:spacing w:after="0"/>
        <w:tabs>
          <w:tab w:leader="none" w:pos="1940"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assist in coordinating any collaborative efforts under this Agreement, if any, and any external</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communications; and</w:t>
      </w:r>
    </w:p>
    <w:p>
      <w:pPr>
        <w:spacing w:after="0" w:line="188" w:lineRule="exact"/>
        <w:rPr>
          <w:rFonts w:ascii="Arial" w:cs="Arial" w:eastAsia="Arial" w:hAnsi="Arial"/>
          <w:sz w:val="19"/>
          <w:szCs w:val="19"/>
          <w:b w:val="1"/>
          <w:bCs w:val="1"/>
          <w:color w:val="auto"/>
        </w:rPr>
      </w:pPr>
    </w:p>
    <w:p>
      <w:pPr>
        <w:jc w:val="both"/>
        <w:ind w:firstLine="1296"/>
        <w:spacing w:after="0"/>
        <w:tabs>
          <w:tab w:leader="none" w:pos="2074"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take responsibility for ensuring that JDC activities, such as the conduct of required JDC meetings, occur as set forth in this Agreement and that relevant action items, if any, resulting from such meetings are appropriately carried out or otherwise addressed.</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2.8 Dispute Resolution. </w:t>
      </w:r>
      <w:r>
        <w:rPr>
          <w:rFonts w:ascii="Arial" w:cs="Arial" w:eastAsia="Arial" w:hAnsi="Arial"/>
          <w:sz w:val="19"/>
          <w:szCs w:val="19"/>
          <w:color w:val="auto"/>
        </w:rPr>
        <w:t>The representatives of the JDC shall attempt in good faith to reach consensus</w:t>
      </w:r>
      <w:r>
        <w:rPr>
          <w:rFonts w:ascii="Arial" w:cs="Arial" w:eastAsia="Arial" w:hAnsi="Arial"/>
          <w:sz w:val="19"/>
          <w:szCs w:val="19"/>
          <w:b w:val="1"/>
          <w:bCs w:val="1"/>
          <w:color w:val="auto"/>
        </w:rPr>
        <w:t xml:space="preserve"> </w:t>
      </w:r>
      <w:r>
        <w:rPr>
          <w:rFonts w:ascii="Arial" w:cs="Arial" w:eastAsia="Arial" w:hAnsi="Arial"/>
          <w:sz w:val="19"/>
          <w:szCs w:val="19"/>
          <w:color w:val="auto"/>
        </w:rPr>
        <w:t>on all matters properly brought before the JDC. Except as otherwise provided in this Agreement, if, after a good faith, reasonable and open discussion among the members of the JDC, the JDC is unable to agree on a matter that has been properly before it for a period of ten (10) Business Days and that calls for a decision, either Party may refer the dispute (a “</w:t>
      </w:r>
      <w:r>
        <w:rPr>
          <w:rFonts w:ascii="Arial" w:cs="Arial" w:eastAsia="Arial" w:hAnsi="Arial"/>
          <w:sz w:val="19"/>
          <w:szCs w:val="19"/>
          <w:b w:val="1"/>
          <w:bCs w:val="1"/>
          <w:i w:val="1"/>
          <w:iCs w:val="1"/>
          <w:color w:val="auto"/>
        </w:rPr>
        <w:t>JDC Dispute</w:t>
      </w:r>
      <w:r>
        <w:rPr>
          <w:rFonts w:ascii="Arial" w:cs="Arial" w:eastAsia="Arial" w:hAnsi="Arial"/>
          <w:sz w:val="19"/>
          <w:szCs w:val="19"/>
          <w:color w:val="auto"/>
        </w:rPr>
        <w:t>”) to the Executive Officers for resolution. If the Executive Officers are unable to reach a resolution within ten (10) Business Days of such referral, then the JDC Dispute will be referred to the Chief Executive Officer and Chief Medical Officer of BioXcel or his or her designee and the Chief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89" w:name="page90"/>
    <w:bookmarkEnd w:id="89"/>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9"/>
          <w:szCs w:val="19"/>
          <w:color w:val="auto"/>
        </w:rPr>
        <w:t>Scientific Officer of Nektar or his or her designee for attempted resolution by good faith negotiations within fifteen</w:t>
      </w:r>
    </w:p>
    <w:p>
      <w:pPr>
        <w:spacing w:after="0" w:line="43" w:lineRule="exact"/>
        <w:rPr>
          <w:sz w:val="20"/>
          <w:szCs w:val="20"/>
          <w:color w:val="auto"/>
        </w:rPr>
      </w:pPr>
    </w:p>
    <w:p>
      <w:pPr>
        <w:ind w:left="1" w:hanging="1"/>
        <w:spacing w:after="0" w:line="237" w:lineRule="auto"/>
        <w:tabs>
          <w:tab w:leader="none" w:pos="432" w:val="left"/>
        </w:tabs>
        <w:numPr>
          <w:ilvl w:val="0"/>
          <w:numId w:val="64"/>
        </w:numPr>
        <w:rPr>
          <w:rFonts w:ascii="Arial" w:cs="Arial" w:eastAsia="Arial" w:hAnsi="Arial"/>
          <w:sz w:val="22"/>
          <w:szCs w:val="22"/>
          <w:color w:val="auto"/>
        </w:rPr>
      </w:pPr>
      <w:r>
        <w:rPr>
          <w:rFonts w:ascii="Arial" w:cs="Arial" w:eastAsia="Arial" w:hAnsi="Arial"/>
          <w:sz w:val="22"/>
          <w:szCs w:val="22"/>
          <w:color w:val="auto"/>
        </w:rPr>
        <w:t>calendar days after such referral is made. In the event such officers are unable to resolve such JDC Dispute within such fifteen (15) calendar day period then:</w:t>
      </w:r>
    </w:p>
    <w:p>
      <w:pPr>
        <w:spacing w:after="0" w:line="184" w:lineRule="exact"/>
        <w:rPr>
          <w:rFonts w:ascii="Arial" w:cs="Arial" w:eastAsia="Arial" w:hAnsi="Arial"/>
          <w:sz w:val="22"/>
          <w:szCs w:val="22"/>
          <w:color w:val="auto"/>
        </w:rPr>
      </w:pPr>
    </w:p>
    <w:p>
      <w:pPr>
        <w:jc w:val="both"/>
        <w:ind w:left="1" w:firstLine="1296"/>
        <w:spacing w:after="0"/>
        <w:tabs>
          <w:tab w:leader="none" w:pos="1995"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if such JDC Dispute regards whether or not to commence a new Combined Therapy Trial, then such Combined Therapy Trial shall not proceed absent mutual agreement of the Parties; provided that any then-active Combined Therapy Trial shall continue;</w:t>
      </w:r>
    </w:p>
    <w:p>
      <w:pPr>
        <w:spacing w:after="0" w:line="186" w:lineRule="exact"/>
        <w:rPr>
          <w:rFonts w:ascii="Arial" w:cs="Arial" w:eastAsia="Arial" w:hAnsi="Arial"/>
          <w:sz w:val="22"/>
          <w:szCs w:val="22"/>
          <w:b w:val="1"/>
          <w:bCs w:val="1"/>
          <w:color w:val="auto"/>
        </w:rPr>
      </w:pPr>
    </w:p>
    <w:p>
      <w:pPr>
        <w:jc w:val="both"/>
        <w:ind w:left="1" w:firstLine="1296"/>
        <w:spacing w:after="0" w:line="270" w:lineRule="auto"/>
        <w:tabs>
          <w:tab w:leader="none" w:pos="1940" w:val="left"/>
        </w:tabs>
        <w:numPr>
          <w:ilvl w:val="1"/>
          <w:numId w:val="64"/>
        </w:numPr>
        <w:rPr>
          <w:rFonts w:ascii="Arial" w:cs="Arial" w:eastAsia="Arial" w:hAnsi="Arial"/>
          <w:sz w:val="19"/>
          <w:szCs w:val="19"/>
          <w:b w:val="1"/>
          <w:bCs w:val="1"/>
          <w:color w:val="auto"/>
        </w:rPr>
      </w:pPr>
      <w:r>
        <w:rPr>
          <w:rFonts w:ascii="Arial" w:cs="Arial" w:eastAsia="Arial" w:hAnsi="Arial"/>
          <w:sz w:val="19"/>
          <w:szCs w:val="19"/>
          <w:color w:val="auto"/>
        </w:rPr>
        <w:t>if such JDC Dispute occurs subsequent to the commencement of a Combined Therapy Trial, and relates to either (1) a material amendment requiring mutual agreement proposed by either Party to an agreed-upon Protocol or Trial Overview, CRO Agreement, Bioanalysis Plan or Statistical Analysis Plan relating to such Combined Therapy Trial or (2) any other matter relating to the strategy, conduct, rationale, or safety of such Combined Therapy Trial, there shall be no decision on the matter and the then existing terms of the applicable Protocol, Trial Overview, CRO Agreement, Bioanalysis Plan or Statistical Analysis Plan relating to such Combined Therapy Trial shall govern. Notwithstanding the foregoing, neither Party shall be required to continue a Combined Therapy Trial if a Party reasonably deems there to be a Material Safety Issue for such Combined Therapy Trial. Each Party’s safety committee shall, to the extent practicable, meet and discuss in good faith the Material Safety Issue and if unresolved within fifteen (15) Business Days escalate such Material Safety Issue to the Executive Officers. If the Executive Officers are unable to reach a resolution within ten (10) Business Days of such referral, then the dispute will be referred to the Chief Executive Officer and Chief Medical Officer of BioXcel or his or her designee and the Chief Scientific Officer of Nektar or his or her designee for attempted resolution by good faith negotiations within fifteen calendar days after such referral is made. In the event such officers are unable to resolve the Material Safety Issue, the applicable Combined Therapy Trial shall be discontinued. The Parties shall use reasonable efforts to wind down activities related solely to such discontinued Combined Therapy Trial in accordance with Section 12.8; and</w:t>
      </w:r>
    </w:p>
    <w:p>
      <w:pPr>
        <w:spacing w:after="0" w:line="200" w:lineRule="exact"/>
        <w:rPr>
          <w:rFonts w:ascii="Arial" w:cs="Arial" w:eastAsia="Arial" w:hAnsi="Arial"/>
          <w:sz w:val="19"/>
          <w:szCs w:val="19"/>
          <w:b w:val="1"/>
          <w:bCs w:val="1"/>
          <w:color w:val="auto"/>
        </w:rPr>
      </w:pPr>
    </w:p>
    <w:p>
      <w:pPr>
        <w:spacing w:after="0" w:line="215" w:lineRule="exact"/>
        <w:rPr>
          <w:rFonts w:ascii="Arial" w:cs="Arial" w:eastAsia="Arial" w:hAnsi="Arial"/>
          <w:sz w:val="19"/>
          <w:szCs w:val="19"/>
          <w:b w:val="1"/>
          <w:bCs w:val="1"/>
          <w:color w:val="auto"/>
        </w:rPr>
      </w:pPr>
    </w:p>
    <w:p>
      <w:pPr>
        <w:ind w:left="1" w:firstLine="1296"/>
        <w:spacing w:after="0" w:line="251" w:lineRule="auto"/>
        <w:tabs>
          <w:tab w:leader="none" w:pos="1983" w:val="left"/>
        </w:tabs>
        <w:numPr>
          <w:ilvl w:val="1"/>
          <w:numId w:val="64"/>
        </w:numPr>
        <w:rPr>
          <w:rFonts w:ascii="Arial" w:cs="Arial" w:eastAsia="Arial" w:hAnsi="Arial"/>
          <w:sz w:val="22"/>
          <w:szCs w:val="22"/>
          <w:b w:val="1"/>
          <w:bCs w:val="1"/>
          <w:color w:val="auto"/>
        </w:rPr>
      </w:pPr>
      <w:r>
        <w:rPr>
          <w:rFonts w:ascii="Arial" w:cs="Arial" w:eastAsia="Arial" w:hAnsi="Arial"/>
          <w:sz w:val="22"/>
          <w:szCs w:val="22"/>
          <w:color w:val="auto"/>
        </w:rPr>
        <w:t>if such JDC Dispute is not otherwise addressed by Section 2.8(a) or (b), the dispute shall be resolved through arbitration as provided for in Section 13.3.</w:t>
      </w:r>
    </w:p>
    <w:p>
      <w:pPr>
        <w:spacing w:after="0" w:line="167"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2"/>
          <w:szCs w:val="22"/>
          <w:b w:val="1"/>
          <w:bCs w:val="1"/>
          <w:color w:val="auto"/>
        </w:rPr>
        <w:t xml:space="preserve">2.9 Conduct. </w:t>
      </w:r>
      <w:r>
        <w:rPr>
          <w:rFonts w:ascii="Arial" w:cs="Arial" w:eastAsia="Arial" w:hAnsi="Arial"/>
          <w:sz w:val="22"/>
          <w:szCs w:val="22"/>
          <w:color w:val="auto"/>
        </w:rPr>
        <w:t>Each Party shall use Commercially Reasonable Efforts to perform and fulfill its</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activities under this Agreement, and shall do so in accordance with Applicable Law, including GCP, GLP and GMP.</w:t>
      </w:r>
    </w:p>
    <w:p>
      <w:pPr>
        <w:spacing w:after="0" w:line="177" w:lineRule="exact"/>
        <w:rPr>
          <w:sz w:val="20"/>
          <w:szCs w:val="20"/>
          <w:color w:val="auto"/>
        </w:rPr>
      </w:pPr>
    </w:p>
    <w:p>
      <w:pPr>
        <w:jc w:val="both"/>
        <w:ind w:left="1" w:firstLine="648"/>
        <w:spacing w:after="0" w:line="247" w:lineRule="auto"/>
        <w:rPr>
          <w:sz w:val="20"/>
          <w:szCs w:val="20"/>
          <w:color w:val="auto"/>
        </w:rPr>
      </w:pPr>
      <w:r>
        <w:rPr>
          <w:rFonts w:ascii="Arial" w:cs="Arial" w:eastAsia="Arial" w:hAnsi="Arial"/>
          <w:sz w:val="21"/>
          <w:szCs w:val="21"/>
          <w:b w:val="1"/>
          <w:bCs w:val="1"/>
          <w:color w:val="auto"/>
        </w:rPr>
        <w:t xml:space="preserve">2.10 Nektar Performance Restriction related to SCA. </w:t>
      </w:r>
      <w:r>
        <w:rPr>
          <w:rFonts w:ascii="Arial" w:cs="Arial" w:eastAsia="Arial" w:hAnsi="Arial"/>
          <w:sz w:val="21"/>
          <w:szCs w:val="21"/>
          <w:color w:val="auto"/>
        </w:rPr>
        <w:t>Notwithstanding anything in this Agreement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contrary, nothing in this Agreement shall require Nektar to take any action or refrain from taking any action that would cause Nektar to be in breach of the SCA. As of the Effective Date, Nektar represents that (i) there are no obligations set forth in this Agreement that Nektar would be unable to perform as a result of the SCA, and (ii) Nektar shall in good faith use Commercially Reasonable Efforts in carrying out its obligations under the SCA to avoid causing any material impact on this Agreement. In the event that Nektar becomes aware of any performance obligations of Nektar set forth in this Agreement that Nektar is unable to perform due to its obligations to BMS under the SCA, Nektar will promptly provide written notice to BioXcel,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0" w:name="page91"/>
    <w:bookmarkEnd w:id="90"/>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36" w:lineRule="auto"/>
        <w:rPr>
          <w:sz w:val="20"/>
          <w:szCs w:val="20"/>
          <w:color w:val="auto"/>
        </w:rPr>
      </w:pPr>
      <w:r>
        <w:rPr>
          <w:rFonts w:ascii="Arial" w:cs="Arial" w:eastAsia="Arial" w:hAnsi="Arial"/>
          <w:sz w:val="22"/>
          <w:szCs w:val="22"/>
          <w:color w:val="auto"/>
        </w:rPr>
        <w:t xml:space="preserve">and the Parties shall through the JDC determine how best to resolve any such conflicts subject to preserving the rights that BioXcel receives under this Agreement,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(a) any such resolution will be effective only if approved by the JDC; and (b) if no resolution is agreed through the JDC, then Nektar will not be required to take the action or refrain from taking the action that in Nektar’s reasonable opinion would cause Nektar to be in breach of the SCA.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GRANTS</w:t>
      </w:r>
    </w:p>
    <w:p>
      <w:pPr>
        <w:spacing w:after="0" w:line="182" w:lineRule="exact"/>
        <w:rPr>
          <w:sz w:val="20"/>
          <w:szCs w:val="20"/>
          <w:color w:val="auto"/>
        </w:rPr>
      </w:pPr>
    </w:p>
    <w:p>
      <w:pPr>
        <w:jc w:val="both"/>
        <w:ind w:left="1" w:firstLine="648"/>
        <w:spacing w:after="0" w:line="249" w:lineRule="auto"/>
        <w:rPr>
          <w:sz w:val="20"/>
          <w:szCs w:val="20"/>
          <w:color w:val="auto"/>
        </w:rPr>
      </w:pPr>
      <w:r>
        <w:rPr>
          <w:rFonts w:ascii="Arial" w:cs="Arial" w:eastAsia="Arial" w:hAnsi="Arial"/>
          <w:sz w:val="21"/>
          <w:szCs w:val="21"/>
          <w:b w:val="1"/>
          <w:bCs w:val="1"/>
          <w:color w:val="auto"/>
        </w:rPr>
        <w:t xml:space="preserve">3.1 Grant by Nektar. </w:t>
      </w:r>
      <w:r>
        <w:rPr>
          <w:rFonts w:ascii="Arial" w:cs="Arial" w:eastAsia="Arial" w:hAnsi="Arial"/>
          <w:sz w:val="21"/>
          <w:szCs w:val="21"/>
          <w:color w:val="auto"/>
        </w:rPr>
        <w:t>Subject to the terms of this Agreement, Nektar hereby grants, and shall cause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to grant, to BioXcel (and BioXcel hereby accepts) a non-exclusive, worldwide, non-transferable, royalty-free license (with the right to sublicense solely pursuant to the terms of and subject to the limitations of Section 3.3) under the Nektar Independent Patent Rights, Nektar Technology, and Nektar Regulatory Documentation to use the Nektar Compound, solely to the extent necessary to discharge BioXcel’s obligations under this Agreement with respect to the conduct of the Combined Therapy Trials.</w:t>
      </w:r>
    </w:p>
    <w:p>
      <w:pPr>
        <w:spacing w:after="0" w:line="171" w:lineRule="exact"/>
        <w:rPr>
          <w:sz w:val="20"/>
          <w:szCs w:val="20"/>
          <w:color w:val="auto"/>
        </w:rPr>
      </w:pPr>
    </w:p>
    <w:p>
      <w:pPr>
        <w:jc w:val="both"/>
        <w:ind w:left="1" w:firstLine="648"/>
        <w:spacing w:after="0" w:line="280" w:lineRule="auto"/>
        <w:rPr>
          <w:sz w:val="20"/>
          <w:szCs w:val="20"/>
          <w:color w:val="auto"/>
        </w:rPr>
      </w:pPr>
      <w:r>
        <w:rPr>
          <w:rFonts w:ascii="Arial" w:cs="Arial" w:eastAsia="Arial" w:hAnsi="Arial"/>
          <w:sz w:val="19"/>
          <w:szCs w:val="19"/>
          <w:b w:val="1"/>
          <w:bCs w:val="1"/>
          <w:color w:val="auto"/>
        </w:rPr>
        <w:t xml:space="preserve">3.2 Grant by BioXcel. </w:t>
      </w:r>
      <w:r>
        <w:rPr>
          <w:rFonts w:ascii="Arial" w:cs="Arial" w:eastAsia="Arial" w:hAnsi="Arial"/>
          <w:sz w:val="19"/>
          <w:szCs w:val="19"/>
          <w:color w:val="auto"/>
        </w:rPr>
        <w:t>Subject to the terms of this Agreement, BioXcel hereby grants, and shall cause</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to grant, to Nektar (and Nektar hereby accepts) a non-exclusive, worldwide, non-transferable, royalty-free license (with the right to sublicense solely pursuant to the terms of and subject to the limitations of Section 3.3) under the BioXcel Independent Patent Rights, BioXcel Technology, and BioXcel Regulatory Documentation to use the BioXcel Compound, solely to the extent necessary to discharge Nektar’s obligations under this Agreement with respect to the conduct of the Combined Therapy Trials.</w:t>
      </w:r>
    </w:p>
    <w:p>
      <w:pPr>
        <w:spacing w:after="0" w:line="145"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8"/>
          <w:szCs w:val="18"/>
          <w:b w:val="1"/>
          <w:bCs w:val="1"/>
          <w:color w:val="auto"/>
        </w:rPr>
        <w:t>Sublicensing</w:t>
      </w:r>
      <w:r>
        <w:rPr>
          <w:rFonts w:ascii="Arial" w:cs="Arial" w:eastAsia="Arial" w:hAnsi="Arial"/>
          <w:sz w:val="18"/>
          <w:szCs w:val="18"/>
          <w:color w:val="auto"/>
        </w:rPr>
        <w:t>.</w:t>
      </w:r>
    </w:p>
    <w:p>
      <w:pPr>
        <w:spacing w:after="0" w:line="212" w:lineRule="exact"/>
        <w:rPr>
          <w:sz w:val="20"/>
          <w:szCs w:val="20"/>
          <w:color w:val="auto"/>
        </w:rPr>
      </w:pPr>
    </w:p>
    <w:p>
      <w:pPr>
        <w:jc w:val="both"/>
        <w:ind w:left="1" w:firstLine="1296"/>
        <w:spacing w:after="0" w:line="236" w:lineRule="auto"/>
        <w:tabs>
          <w:tab w:leader="none" w:pos="2076" w:val="left"/>
        </w:tabs>
        <w:numPr>
          <w:ilvl w:val="1"/>
          <w:numId w:val="65"/>
        </w:numPr>
        <w:rPr>
          <w:rFonts w:ascii="Arial" w:cs="Arial" w:eastAsia="Arial" w:hAnsi="Arial"/>
          <w:sz w:val="22"/>
          <w:szCs w:val="22"/>
          <w:b w:val="1"/>
          <w:bCs w:val="1"/>
          <w:color w:val="auto"/>
        </w:rPr>
      </w:pPr>
      <w:r>
        <w:rPr>
          <w:rFonts w:ascii="Arial" w:cs="Arial" w:eastAsia="Arial" w:hAnsi="Arial"/>
          <w:sz w:val="22"/>
          <w:szCs w:val="22"/>
          <w:color w:val="auto"/>
        </w:rPr>
        <w:t>Subject to Section 3.3(b), each Party shall have the right to grant sublicenses under the licenses granted to it under Section 3.1 to Affiliates and, if required for a Third Party to perform its duties with respect to the conduct of the Combined Therapy Trials (and agreed to by the other Party, such consent not to be unreasonably withheld), to Third Parties, solely as necessary to assist a Party in carrying out its responsibilities with respect to the Combined Therapy Trials.</w:t>
      </w:r>
    </w:p>
    <w:p>
      <w:pPr>
        <w:spacing w:after="0" w:line="187" w:lineRule="exact"/>
        <w:rPr>
          <w:rFonts w:ascii="Arial" w:cs="Arial" w:eastAsia="Arial" w:hAnsi="Arial"/>
          <w:sz w:val="22"/>
          <w:szCs w:val="22"/>
          <w:b w:val="1"/>
          <w:bCs w:val="1"/>
          <w:color w:val="auto"/>
        </w:rPr>
      </w:pPr>
    </w:p>
    <w:p>
      <w:pPr>
        <w:jc w:val="both"/>
        <w:ind w:left="1" w:firstLine="1296"/>
        <w:spacing w:after="0" w:line="269" w:lineRule="auto"/>
        <w:tabs>
          <w:tab w:leader="none" w:pos="2075" w:val="left"/>
        </w:tabs>
        <w:numPr>
          <w:ilvl w:val="1"/>
          <w:numId w:val="65"/>
        </w:numPr>
        <w:rPr>
          <w:rFonts w:ascii="Arial" w:cs="Arial" w:eastAsia="Arial" w:hAnsi="Arial"/>
          <w:sz w:val="19"/>
          <w:szCs w:val="19"/>
          <w:b w:val="1"/>
          <w:bCs w:val="1"/>
          <w:color w:val="auto"/>
        </w:rPr>
      </w:pPr>
      <w:r>
        <w:rPr>
          <w:rFonts w:ascii="Arial" w:cs="Arial" w:eastAsia="Arial" w:hAnsi="Arial"/>
          <w:sz w:val="19"/>
          <w:szCs w:val="19"/>
          <w:color w:val="auto"/>
        </w:rPr>
        <w:t>With regard to any such sublicenses permitted and made under this Agreement, (i) such sublicensees, except Affiliates (so long as they remain Affiliates of a Party), shall be subject to written agreements that bind such sublicensees to obligations that are consistent with a Party’s obligations under this Agreement including confidentiality and non-use provisions no less restrictive than those set forth in Sections 8.2 and 8.3 and Article 9, and provisions regarding intellectual property that ensure that the Parties will have the rights, title, and interest provided under this Agreement to any intellectual property created by such sublicensee, (ii) each Party shall provide written notice to the other of any such sublicense (and obtain approval for sublicenses to Third Parties); and</w:t>
      </w:r>
    </w:p>
    <w:p>
      <w:pPr>
        <w:spacing w:after="0" w:line="5" w:lineRule="exact"/>
        <w:rPr>
          <w:rFonts w:ascii="Arial" w:cs="Arial" w:eastAsia="Arial" w:hAnsi="Arial"/>
          <w:sz w:val="19"/>
          <w:szCs w:val="19"/>
          <w:b w:val="1"/>
          <w:bCs w:val="1"/>
          <w:color w:val="auto"/>
        </w:rPr>
      </w:pPr>
    </w:p>
    <w:p>
      <w:pPr>
        <w:ind w:left="381" w:hanging="381"/>
        <w:spacing w:after="0"/>
        <w:tabs>
          <w:tab w:leader="none" w:pos="381"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licensing Party shall remain liable for all actions or inactions of its sublicensees.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1" w:name="page92"/>
    <w:bookmarkEnd w:id="91"/>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3.4 No Implied Licenses. </w:t>
      </w:r>
      <w:r>
        <w:rPr>
          <w:rFonts w:ascii="Arial" w:cs="Arial" w:eastAsia="Arial" w:hAnsi="Arial"/>
          <w:sz w:val="22"/>
          <w:szCs w:val="22"/>
          <w:color w:val="auto"/>
        </w:rPr>
        <w:t>Except as specifically set forth in this Agreement, neither Party shall acquire</w:t>
      </w:r>
      <w:r>
        <w:rPr>
          <w:rFonts w:ascii="Arial" w:cs="Arial" w:eastAsia="Arial" w:hAnsi="Arial"/>
          <w:sz w:val="22"/>
          <w:szCs w:val="22"/>
          <w:b w:val="1"/>
          <w:bCs w:val="1"/>
          <w:color w:val="auto"/>
        </w:rPr>
        <w:t xml:space="preserve"> </w:t>
      </w:r>
      <w:r>
        <w:rPr>
          <w:rFonts w:ascii="Arial" w:cs="Arial" w:eastAsia="Arial" w:hAnsi="Arial"/>
          <w:sz w:val="22"/>
          <w:szCs w:val="22"/>
          <w:color w:val="auto"/>
        </w:rPr>
        <w:t>any license or other intellectual property interest, by implication or otherwise, in any intellectual property of the other Party, including Confidential Information disclosed to it under this Agreement or under any Patent Rights Controlled by the other Party or its Affiliates.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 AND SUPPLY</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BioXcel Compound</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4" w:lineRule="auto"/>
        <w:tabs>
          <w:tab w:leader="none" w:pos="2204"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Manufacture and Supply. </w:t>
      </w:r>
      <w:r>
        <w:rPr>
          <w:rFonts w:ascii="Arial" w:cs="Arial" w:eastAsia="Arial" w:hAnsi="Arial"/>
          <w:sz w:val="21"/>
          <w:szCs w:val="21"/>
          <w:color w:val="auto"/>
        </w:rPr>
        <w:t>BioXcel shall use Commercially Reasonable Efforts to</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or have Manufactured the BioXcel Compound in drug product form in reasonable quantities, within minimum lead times and at the points in time as agreed by the JDC for each Combined Therapy Trial. BioXcel or a Third Party conducting activities on behalf of BioXcel will package, label and distribute the BioXcel Compound for use in the Combined Therapy Trials, with associated costs and expenses (and any related taxes) of such activities to be split between the Parties in accordance with Sections 7.1 and 7.2(a)(ii). The cost of Manufacture and supply (including shipping, taxes and duty, if applicable) of BioXcel Compound for the Combined Therapy Trials shall be borne solely by BioXcel, and BioXcel shall bear the risk of loss for the BioXcel Compound. BioXcel shall also be responsible for the payment of any Third Party License Payments that may be due exclusively on the supply of BioXcel Compound for the Combined Therapy Trials. The BioXcel Compound shall be Manufactured in accordance with Applicable Law (including GMP) and shall be of similar quality to the BioXcel Compound used by BioXcel for its other clinical trials of the BioXcel Compound. BioXcel shall deliver to Nektar certificates of analysis, and any other documents specified in the Quality Agreement, including such documentation as is necessary to allow Nektar to compare the BioXcel Compound certificate of analysis to the BioXcel Compound specifications.</w:t>
      </w:r>
    </w:p>
    <w:p>
      <w:pPr>
        <w:spacing w:after="0" w:line="180"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color w:val="auto"/>
        </w:rPr>
        <w:t>Nektar Compound</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73" w:lineRule="auto"/>
        <w:tabs>
          <w:tab w:leader="none" w:pos="2208"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Manufacture and Supply of Nektar Compound. </w:t>
      </w:r>
      <w:r>
        <w:rPr>
          <w:rFonts w:ascii="Arial" w:cs="Arial" w:eastAsia="Arial" w:hAnsi="Arial"/>
          <w:sz w:val="19"/>
          <w:szCs w:val="19"/>
          <w:color w:val="auto"/>
        </w:rPr>
        <w:t>Nektar shall use Commercially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Efforts to Manufacture or have Manufactured the Nektar Compound in drug product form in reasonable quantities, within minimum lead times and at the points in time as agreed by the JDC for each Combined Therapy Trial, and shall supply such Nektar Compound in unlabeled vials to BioXcel or its designee for clinical labeling and packaging, and use in the Combined Therapy Trials. All Nektar Compound supplied to BioXcel shall have expiration dates as mutually agreed by the parties. BioXcel or a Third Party conducting activities on behalf of BioXcel will package, label and distribute the Nektar Compound for use in the Combined Therapy Trials, with associated costs and expenses (and any related taxes) of such activities to be split between the Parties in accordance with Sections 7.1 and 7.2(a)(ii). The cost of Manufacture, supply and distribution (including shipping, taxes and duty, if applicable) of the Nektar Compound to BioXcel shall be borne solely by Nektar, and Nektar shall bear the risk of loss for the Nektar Compound at all times during the Term; except that BioXcel shall bear the risk of loss of the Nektar Compound to the extent that the loss arises or results from the gross negligence or intentional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2" w:name="page93"/>
    <w:bookmarkEnd w:id="9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misconduct of BioXcel or of any Third Party conducting packaging, labeling or distribution activities on behalf of BioXcel. As between Nektar and BioXcel, Nektar shall also be responsible for the payment of any Third Party License Payments that may be due to Third Parties exclusively on the supply of Nektar Compound hereunder for the Combined Therapy Trials. The Nektar Compound shall be Manufactured in accordance with Applicable Law (including GMP) and shall be of similar quality to the Nektar Compound used by Nektar for its other clinical trials of the Nektar Compound. Nektar shall deliver to BioXcel certificates of analysis, and any other documents specified in the Quality Agreement, including such documentation as is necessary to allow BioXcel to compare the Nektar Compound certificate of analysis to the Nektar Compound specifications, as applicable. The Parties shall cooperate in accordance with Applicable Law to minimize indirect taxes (such as value added tax, sales tax, consumption tax and other similar taxes) relating to the Nektar Compound in connection with this Agreement. Nektar will provide BioXcel with country-specific customs valuations for the Nektar Compound, which BioXcel must use for deliveries to each country. BioXcel must request these valuations at least [***] ([***]) calendar days prior to each shipment through Nektar’s clinical supply organization.</w:t>
      </w:r>
    </w:p>
    <w:p>
      <w:pPr>
        <w:spacing w:after="0" w:line="399" w:lineRule="exact"/>
        <w:rPr>
          <w:sz w:val="20"/>
          <w:szCs w:val="20"/>
          <w:color w:val="auto"/>
        </w:rPr>
      </w:pPr>
    </w:p>
    <w:p>
      <w:pPr>
        <w:jc w:val="both"/>
        <w:ind w:firstLine="1296"/>
        <w:spacing w:after="0" w:line="235" w:lineRule="auto"/>
        <w:tabs>
          <w:tab w:leader="none" w:pos="2163"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Nektar Compound by BioXcel. </w:t>
      </w:r>
      <w:r>
        <w:rPr>
          <w:rFonts w:ascii="Arial" w:cs="Arial" w:eastAsia="Arial" w:hAnsi="Arial"/>
          <w:sz w:val="22"/>
          <w:szCs w:val="22"/>
          <w:color w:val="auto"/>
        </w:rPr>
        <w:t>BioXcel shall use the quantities of Nektar</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supplied to it under this Agreement solely as necessary for, and in accordance with, this Agreement and the Protocols, and for no other purpose, including without limitation as a reagent or tool to facilitate its internal research efforts, for any commercial purpose, or for other research unrelated to the Combined Therapy Trials. Except as may be required under this Agreement, a Bioanalysis Plan, or a Protocol, BioXcel shall not perform, and shall not allow any Third Parties to perform, any analytical testing of the quantities of Nektar Compound supplied to it under this Agreement.</w:t>
      </w:r>
    </w:p>
    <w:p>
      <w:pPr>
        <w:spacing w:after="0" w:line="18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b w:val="1"/>
          <w:bCs w:val="1"/>
          <w:color w:val="auto"/>
        </w:rPr>
        <w:t xml:space="preserve">4.3 Quality Agreement. </w:t>
      </w:r>
      <w:r>
        <w:rPr>
          <w:rFonts w:ascii="Arial" w:cs="Arial" w:eastAsia="Arial" w:hAnsi="Arial"/>
          <w:sz w:val="22"/>
          <w:szCs w:val="22"/>
          <w:color w:val="auto"/>
        </w:rPr>
        <w:t>No later than the date of the first shipment of Nektar Compound to BioXcel for</w:t>
      </w:r>
      <w:r>
        <w:rPr>
          <w:rFonts w:ascii="Arial" w:cs="Arial" w:eastAsia="Arial" w:hAnsi="Arial"/>
          <w:sz w:val="22"/>
          <w:szCs w:val="22"/>
          <w:b w:val="1"/>
          <w:bCs w:val="1"/>
          <w:color w:val="auto"/>
        </w:rPr>
        <w:t xml:space="preserve"> </w:t>
      </w:r>
      <w:r>
        <w:rPr>
          <w:rFonts w:ascii="Arial" w:cs="Arial" w:eastAsia="Arial" w:hAnsi="Arial"/>
          <w:sz w:val="22"/>
          <w:szCs w:val="22"/>
          <w:color w:val="auto"/>
        </w:rPr>
        <w:t>use in the Combined Therapy Trials, the Parties shall enter into a quality agreement (the “</w:t>
      </w:r>
      <w:r>
        <w:rPr>
          <w:rFonts w:ascii="Arial" w:cs="Arial" w:eastAsia="Arial" w:hAnsi="Arial"/>
          <w:sz w:val="22"/>
          <w:szCs w:val="22"/>
          <w:b w:val="1"/>
          <w:bCs w:val="1"/>
          <w:i w:val="1"/>
          <w:iCs w:val="1"/>
          <w:color w:val="auto"/>
        </w:rPr>
        <w:t>Quality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The Quality Agreement shall outline the additional roles and responsibilities relative to the quality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BioXcel Compound and Nektar Compound in support of the Combined Therapy Trials. The Quality Agreement shall include the responsibility for quality elements including, by way of example, audits &amp; inspections, sub-contractors and suppliers, change control, OOS results, deviations and investigations required to conduct the Combined Therapy Trials. In addition, the Quality Agreement shall detail the documentation required for each shipment of Nektar Compound supplied to BioXcel or its designee for use in the Combined Therapy Trials. The Quality Agreement shall also indicate whether any required transfer from Nektar to BioXcel of analytical methods will be necessary to support identity testing by BioXcel of the Nektar Compound supplied to BioXcel under this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4.4 Supply Agreement. </w:t>
      </w:r>
      <w:r>
        <w:rPr>
          <w:rFonts w:ascii="Arial" w:cs="Arial" w:eastAsia="Arial" w:hAnsi="Arial"/>
          <w:sz w:val="21"/>
          <w:szCs w:val="21"/>
          <w:color w:val="auto"/>
        </w:rPr>
        <w:t>Within sixty (60) days after the Effective Date (or as soon thereafter as</w:t>
      </w:r>
      <w:r>
        <w:rPr>
          <w:rFonts w:ascii="Arial" w:cs="Arial" w:eastAsia="Arial" w:hAnsi="Arial"/>
          <w:sz w:val="21"/>
          <w:szCs w:val="21"/>
          <w:b w:val="1"/>
          <w:bCs w:val="1"/>
          <w:color w:val="auto"/>
        </w:rPr>
        <w:t xml:space="preserve"> </w:t>
      </w:r>
      <w:r>
        <w:rPr>
          <w:rFonts w:ascii="Arial" w:cs="Arial" w:eastAsia="Arial" w:hAnsi="Arial"/>
          <w:sz w:val="21"/>
          <w:szCs w:val="21"/>
          <w:color w:val="auto"/>
        </w:rPr>
        <w:t>practicable), the Parties shall enter into a supply agreement (the “</w:t>
      </w:r>
      <w:r>
        <w:rPr>
          <w:rFonts w:ascii="Arial" w:cs="Arial" w:eastAsia="Arial" w:hAnsi="Arial"/>
          <w:sz w:val="21"/>
          <w:szCs w:val="21"/>
          <w:b w:val="1"/>
          <w:bCs w:val="1"/>
          <w:i w:val="1"/>
          <w:iCs w:val="1"/>
          <w:color w:val="auto"/>
        </w:rPr>
        <w:t>Supply Agreement</w:t>
      </w:r>
      <w:r>
        <w:rPr>
          <w:rFonts w:ascii="Arial" w:cs="Arial" w:eastAsia="Arial" w:hAnsi="Arial"/>
          <w:sz w:val="21"/>
          <w:szCs w:val="21"/>
          <w:color w:val="auto"/>
        </w:rPr>
        <w:t>”). The Supply Agreement shall govern forecasting, ordering, expiration dates, procedures for acceptance and rejection and other customary provisions for the supply of the Nektar Compound for the Combined Therapy Trials.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3" w:name="page94"/>
    <w:bookmarkEnd w:id="93"/>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b w:val="1"/>
          <w:bCs w:val="1"/>
          <w:color w:val="auto"/>
        </w:rPr>
        <w:t xml:space="preserve">4.5 Supply of the CPI Compound; Termination and Replacement of this Agreement. </w:t>
      </w:r>
      <w:r>
        <w:rPr>
          <w:rFonts w:ascii="Arial" w:cs="Arial" w:eastAsia="Arial" w:hAnsi="Arial"/>
          <w:sz w:val="21"/>
          <w:szCs w:val="21"/>
          <w:color w:val="auto"/>
        </w:rPr>
        <w:t>Promptly</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the Effective Date, the Parties shall agree in writing on the CPI Compound to be used by BioXcel to conduct the Combined Therapy Trials, the terms on which the CPI Compound will be obtained, and which Party shall be responsible for contracting with the supplier of the CPI Compound for such supply, including provisions covering forecasting, ordering, expiration dates, procedures for acceptance and rejection, quality and other customary provisions for the supply of pharmaceutical products for use in clinical trials in the United States. In the event that Nivolumab is mutually agreed by the Parties as the CPI Compound for use in Combined Therapy Trials, then the Parties agree that on written notice from either Party to the other this Agreement shall terminate and be replaced in its entirety with that certain Clinical Trial Collaboration Agreement – Nivolumab, which has been fully negotiated by the Parties, and which both Parties shall both execute and deliver promptly following the termination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RESPONSIBILITIES</w:t>
      </w:r>
    </w:p>
    <w:p>
      <w:pPr>
        <w:spacing w:after="0" w:line="182"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b w:val="1"/>
          <w:bCs w:val="1"/>
          <w:color w:val="auto"/>
        </w:rPr>
        <w:t xml:space="preserve">5.1 Specific Responsibilities of the Parties. </w:t>
      </w:r>
      <w:r>
        <w:rPr>
          <w:rFonts w:ascii="Arial" w:cs="Arial" w:eastAsia="Arial" w:hAnsi="Arial"/>
          <w:sz w:val="21"/>
          <w:szCs w:val="21"/>
          <w:color w:val="auto"/>
        </w:rPr>
        <w:t>Subject to the terms of this Agreement, each Party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use Commercially Reasonable Efforts to (i) supply the quantities of its Compound as needed to conduct a Combined Therapy Trial on a timely basis, with BioXcel packaging, labeling and delivering same to study sites, in accordance with the time frame(s) established by the JDC; (ii) to conduct and complete each Combined Therapy Trial and any Statistical Analysis Plans and Bioanalysis Plans relating thereto on a timely basis in accordance with the Protocol, Bioanalysis Plans, Statistical Analysis Plans and Third Party agreements relating thereto, and (iii) to timely provide Rights of Cross-Reference where required by this Agreement. Each Party shall be responsible for activities assigned to it by the Protocol and/or JDC that such Party is not otherwise obligated to perform by this Agreement,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except as set forth in this Agreement, in no event shall either Party be obligated to perform any such assigned activities without its prior written consent (which may be reflected in the minutes of meetings of the JDC or in the Protocol). As of the Effective Date, each Party shall be responsible for the following activities:</w:t>
      </w:r>
    </w:p>
    <w:p>
      <w:pPr>
        <w:spacing w:after="0" w:line="175" w:lineRule="exact"/>
        <w:rPr>
          <w:sz w:val="20"/>
          <w:szCs w:val="20"/>
          <w:color w:val="auto"/>
        </w:rPr>
      </w:pPr>
    </w:p>
    <w:p>
      <w:pPr>
        <w:jc w:val="both"/>
        <w:ind w:left="1" w:firstLine="1296"/>
        <w:spacing w:after="0" w:line="237" w:lineRule="auto"/>
        <w:tabs>
          <w:tab w:leader="none" w:pos="1932" w:val="left"/>
        </w:tabs>
        <w:numPr>
          <w:ilvl w:val="1"/>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Responsibilities of BioXcel. </w:t>
      </w:r>
      <w:r>
        <w:rPr>
          <w:rFonts w:ascii="Arial" w:cs="Arial" w:eastAsia="Arial" w:hAnsi="Arial"/>
          <w:sz w:val="22"/>
          <w:szCs w:val="22"/>
          <w:color w:val="auto"/>
        </w:rPr>
        <w:t>Subject to JDC direction and oversight as provided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2.4 and BioXcel’s Commercially Reasonably Efforts, BioXcel shall be responsible for the following activities, subject in each case (except as expressly provided in Section 4.1(a) with respect to the Manufacture and supply of the BioXcel Compound) to the Parties sharing the applicable Third Party Study Costs related to such activities in accordance with Section 7.1:</w:t>
      </w:r>
    </w:p>
    <w:p>
      <w:pPr>
        <w:spacing w:after="0" w:line="188" w:lineRule="exact"/>
        <w:rPr>
          <w:rFonts w:ascii="Arial" w:cs="Arial" w:eastAsia="Arial" w:hAnsi="Arial"/>
          <w:sz w:val="22"/>
          <w:szCs w:val="22"/>
          <w:b w:val="1"/>
          <w:bCs w:val="1"/>
          <w:color w:val="auto"/>
        </w:rPr>
      </w:pPr>
    </w:p>
    <w:p>
      <w:pPr>
        <w:jc w:val="both"/>
        <w:ind w:left="1" w:firstLine="1944"/>
        <w:spacing w:after="0" w:line="273" w:lineRule="auto"/>
        <w:tabs>
          <w:tab w:leader="none" w:pos="2798" w:val="left"/>
        </w:tabs>
        <w:numPr>
          <w:ilvl w:val="2"/>
          <w:numId w:val="70"/>
        </w:numPr>
        <w:rPr>
          <w:rFonts w:ascii="Arial" w:cs="Arial" w:eastAsia="Arial" w:hAnsi="Arial"/>
          <w:sz w:val="19"/>
          <w:szCs w:val="19"/>
          <w:b w:val="1"/>
          <w:bCs w:val="1"/>
          <w:color w:val="auto"/>
        </w:rPr>
      </w:pPr>
      <w:r>
        <w:rPr>
          <w:rFonts w:ascii="Arial" w:cs="Arial" w:eastAsia="Arial" w:hAnsi="Arial"/>
          <w:sz w:val="19"/>
          <w:szCs w:val="19"/>
          <w:color w:val="auto"/>
        </w:rPr>
        <w:t>(A) Manufacturing, packaging and labeling the BioXcel Compound for use in the Combined Therapy Trials, (B) packaging and labeling the vials provided by Nektar of the Nektar Compound and vials provided by the CPI Compound supplier of the CPI Compound for use in the Combined Therapy Trials, and</w:t>
      </w:r>
    </w:p>
    <w:p>
      <w:pPr>
        <w:spacing w:after="0" w:line="1" w:lineRule="exact"/>
        <w:rPr>
          <w:rFonts w:ascii="Arial" w:cs="Arial" w:eastAsia="Arial" w:hAnsi="Arial"/>
          <w:sz w:val="19"/>
          <w:szCs w:val="19"/>
          <w:b w:val="1"/>
          <w:bCs w:val="1"/>
          <w:color w:val="auto"/>
        </w:rPr>
      </w:pPr>
    </w:p>
    <w:p>
      <w:pPr>
        <w:ind w:left="1" w:hanging="1"/>
        <w:spacing w:after="0" w:line="237" w:lineRule="auto"/>
        <w:tabs>
          <w:tab w:leader="none" w:pos="358" w:val="left"/>
        </w:tabs>
        <w:numPr>
          <w:ilvl w:val="0"/>
          <w:numId w:val="71"/>
        </w:numPr>
        <w:rPr>
          <w:rFonts w:ascii="Arial" w:cs="Arial" w:eastAsia="Arial" w:hAnsi="Arial"/>
          <w:sz w:val="22"/>
          <w:szCs w:val="22"/>
          <w:color w:val="auto"/>
        </w:rPr>
      </w:pPr>
      <w:r>
        <w:rPr>
          <w:rFonts w:ascii="Arial" w:cs="Arial" w:eastAsia="Arial" w:hAnsi="Arial"/>
          <w:sz w:val="22"/>
          <w:szCs w:val="22"/>
          <w:color w:val="auto"/>
        </w:rPr>
        <w:t>providing the JDC (or a working team designated by the JDC) on a monthly basis with a clinical drug supply forecast for the Nektar Compound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4" w:name="page95"/>
    <w:bookmarkEnd w:id="94"/>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the CPI Compound and the BioXcel Compound that includes strategy for drug supply overages, drug supply quantity and required delivery dates;</w:t>
      </w:r>
    </w:p>
    <w:p>
      <w:pPr>
        <w:spacing w:after="0" w:line="173" w:lineRule="exact"/>
        <w:rPr>
          <w:sz w:val="20"/>
          <w:szCs w:val="20"/>
          <w:color w:val="auto"/>
        </w:rPr>
      </w:pPr>
    </w:p>
    <w:p>
      <w:pPr>
        <w:jc w:val="both"/>
        <w:ind w:firstLine="1944"/>
        <w:spacing w:after="0" w:line="235" w:lineRule="auto"/>
        <w:tabs>
          <w:tab w:leader="none" w:pos="2925" w:val="left"/>
        </w:tabs>
        <w:numPr>
          <w:ilvl w:val="0"/>
          <w:numId w:val="72"/>
        </w:numPr>
        <w:rPr>
          <w:rFonts w:ascii="Arial" w:cs="Arial" w:eastAsia="Arial" w:hAnsi="Arial"/>
          <w:sz w:val="22"/>
          <w:szCs w:val="22"/>
          <w:b w:val="1"/>
          <w:bCs w:val="1"/>
          <w:color w:val="auto"/>
        </w:rPr>
      </w:pPr>
      <w:r>
        <w:rPr>
          <w:rFonts w:ascii="Arial" w:cs="Arial" w:eastAsia="Arial" w:hAnsi="Arial"/>
          <w:sz w:val="22"/>
          <w:szCs w:val="22"/>
          <w:color w:val="auto"/>
        </w:rPr>
        <w:t>with the cooperation of Nektar, compiling, amending and filing all necessary Combined Therapy Trial Regulatory Documentation with Regulatory Authority(ies), maintaining and acting as the sponsor of record as provided in 21 C.F.R. 312.50 (and applicable comparable ex-US laws) with responsibility, unless otherwise delegated in accordance with 21 CFR 312.52 (and applicable comparable ex-US laws), for each Combined Therapy Trial and making all required submissions to Regulatory Authorities related thereto on a timely basis;</w:t>
      </w:r>
    </w:p>
    <w:p>
      <w:pPr>
        <w:spacing w:after="0" w:line="188" w:lineRule="exact"/>
        <w:rPr>
          <w:rFonts w:ascii="Arial" w:cs="Arial" w:eastAsia="Arial" w:hAnsi="Arial"/>
          <w:sz w:val="22"/>
          <w:szCs w:val="22"/>
          <w:b w:val="1"/>
          <w:bCs w:val="1"/>
          <w:color w:val="auto"/>
        </w:rPr>
      </w:pPr>
    </w:p>
    <w:p>
      <w:pPr>
        <w:jc w:val="both"/>
        <w:ind w:firstLine="1944"/>
        <w:spacing w:after="0" w:line="279" w:lineRule="auto"/>
        <w:tabs>
          <w:tab w:leader="none" w:pos="2701"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 xml:space="preserve">with the cooperation of Nektar, and subject to the provisions of Section 9.5, listing any Combined Therapy Trial required to be listed on a public database such as www.clinicaltrials.gov or other public registry in any country in which such Combined Therapy Trial is being conducted in accordance with Applicable Law and in accordance with BioXcel’s internal policies relating to clinical trial registration;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that </w:t>
      </w:r>
      <w:r>
        <w:rPr>
          <w:rFonts w:ascii="Arial" w:cs="Arial" w:eastAsia="Arial" w:hAnsi="Arial"/>
          <w:sz w:val="19"/>
          <w:szCs w:val="19"/>
          <w:color w:val="auto"/>
        </w:rPr>
        <w:t>Nektar shall provide BioXcel with written notice of any comments to a proposed listing within ten (10)</w:t>
      </w:r>
      <w:r>
        <w:rPr>
          <w:rFonts w:ascii="Arial" w:cs="Arial" w:eastAsia="Arial" w:hAnsi="Arial"/>
          <w:sz w:val="19"/>
          <w:szCs w:val="19"/>
          <w:i w:val="1"/>
          <w:iCs w:val="1"/>
          <w:color w:val="auto"/>
        </w:rPr>
        <w:t xml:space="preserve"> </w:t>
      </w:r>
      <w:r>
        <w:rPr>
          <w:rFonts w:ascii="Arial" w:cs="Arial" w:eastAsia="Arial" w:hAnsi="Arial"/>
          <w:sz w:val="19"/>
          <w:szCs w:val="19"/>
          <w:color w:val="auto"/>
        </w:rPr>
        <w:t>Business Da</w:t>
      </w:r>
      <w:r>
        <w:rPr>
          <w:rFonts w:ascii="Arial" w:cs="Arial" w:eastAsia="Arial" w:hAnsi="Arial"/>
          <w:sz w:val="19"/>
          <w:szCs w:val="19"/>
          <w:b w:val="1"/>
          <w:bCs w:val="1"/>
          <w:color w:val="auto"/>
        </w:rPr>
        <w:t>ys</w:t>
      </w:r>
      <w:r>
        <w:rPr>
          <w:rFonts w:ascii="Arial" w:cs="Arial" w:eastAsia="Arial" w:hAnsi="Arial"/>
          <w:sz w:val="19"/>
          <w:szCs w:val="19"/>
          <w:color w:val="auto"/>
        </w:rPr>
        <w:t xml:space="preserve"> of the date on which BioXcel provides the applicable information to Nektar;</w:t>
      </w:r>
    </w:p>
    <w:p>
      <w:pPr>
        <w:spacing w:after="0" w:line="150" w:lineRule="exact"/>
        <w:rPr>
          <w:rFonts w:ascii="Arial" w:cs="Arial" w:eastAsia="Arial" w:hAnsi="Arial"/>
          <w:sz w:val="19"/>
          <w:szCs w:val="19"/>
          <w:b w:val="1"/>
          <w:bCs w:val="1"/>
          <w:color w:val="auto"/>
        </w:rPr>
      </w:pPr>
    </w:p>
    <w:p>
      <w:pPr>
        <w:jc w:val="both"/>
        <w:ind w:firstLine="1944"/>
        <w:spacing w:after="0" w:line="272" w:lineRule="auto"/>
        <w:tabs>
          <w:tab w:leader="none" w:pos="2824"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 xml:space="preserve">providing Nektar with reasonable advance notice of scheduled meetings or other material non-written communications with a Regulatory Authority and the opportunity to participate in each such meeting or other non-written communication, to the extent that it relates to the Combined Therapy or the Nektar Compound, and providing Nektar with the opportunity to review, provide comments to BioXcel within ten (10) Business Days on, and, if inconsistent with the applicable Protocol(s) or JDC guidance, approve all submissions and written correspondence with a Regulatory Authority that relates to the Combined Therapy or the Nektar Compound;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in no event shall BioXcel or any Affiliate of BioXcel initiate communications with or respond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any communications initiated by any Regulatory Authority solely with respect to the Nektar Compound without the prior written consent of Nektar and </w:t>
      </w:r>
      <w:r>
        <w:rPr>
          <w:rFonts w:ascii="Arial" w:cs="Arial" w:eastAsia="Arial" w:hAnsi="Arial"/>
          <w:sz w:val="19"/>
          <w:szCs w:val="19"/>
          <w:i w:val="1"/>
          <w:iCs w:val="1"/>
          <w:color w:val="auto"/>
        </w:rPr>
        <w:t>provided further that</w:t>
      </w:r>
      <w:r>
        <w:rPr>
          <w:rFonts w:ascii="Arial" w:cs="Arial" w:eastAsia="Arial" w:hAnsi="Arial"/>
          <w:sz w:val="19"/>
          <w:szCs w:val="19"/>
          <w:color w:val="auto"/>
        </w:rPr>
        <w:t xml:space="preserve"> Nektar, if requested, shall step out of any portions of such meetings or other non-written communications with a Regulatory Authority that relate solely to the use of the BioXcel Compound as a monotherapy or in combination with other compounds and BioXcel, if requested, shall step out of any portions of such meetings or other non-written communications with a Regulatory Authority that relate solely to the use of the Nektar Compound as a monotherapy or in combination with other compounds;</w:t>
      </w:r>
    </w:p>
    <w:p>
      <w:pPr>
        <w:spacing w:after="0" w:line="157" w:lineRule="exact"/>
        <w:rPr>
          <w:rFonts w:ascii="Arial" w:cs="Arial" w:eastAsia="Arial" w:hAnsi="Arial"/>
          <w:sz w:val="19"/>
          <w:szCs w:val="19"/>
          <w:b w:val="1"/>
          <w:bCs w:val="1"/>
          <w:color w:val="auto"/>
        </w:rPr>
      </w:pPr>
    </w:p>
    <w:p>
      <w:pPr>
        <w:jc w:val="both"/>
        <w:ind w:firstLine="1944"/>
        <w:spacing w:after="0" w:line="279" w:lineRule="auto"/>
        <w:tabs>
          <w:tab w:leader="none" w:pos="2805"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providing to Nektar a written summary of meetings or a summary of other non-written communications with a Regulatory Authority within ten (10) calendar days of such meeting or communication, and copies of any official correspondence to or from a Regulatory Authority within two (2) Business Days of receipt or provision, in each case to the extent that it relates to the Combined Therapy or the Nektar Compound (or, to the extent the communication would adversely impact the performance of a Combined Therapy Trial, the BioXcel Compound), and copies of all Combined Therapy Trial Regulatory Documentation that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5" w:name="page96"/>
    <w:bookmarkEnd w:id="95"/>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relate to the Combined Therapy or the Nektar Compound within five (5) Business Days of submission to Regulatory Authorities;</w:t>
      </w:r>
    </w:p>
    <w:p>
      <w:pPr>
        <w:spacing w:after="0" w:line="173" w:lineRule="exact"/>
        <w:rPr>
          <w:sz w:val="20"/>
          <w:szCs w:val="20"/>
          <w:color w:val="auto"/>
        </w:rPr>
      </w:pPr>
    </w:p>
    <w:p>
      <w:pPr>
        <w:jc w:val="both"/>
        <w:ind w:left="1" w:firstLine="1944"/>
        <w:spacing w:after="0" w:line="282" w:lineRule="auto"/>
        <w:tabs>
          <w:tab w:leader="none" w:pos="2784"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drafting, and, subject to Sections 2.4 and 2.6(d), providing to Nektar (through the JDC or otherwise) for its review and approval, each Protocol and investigator’s brochure for a Combined Therapy Trial, and the related template ICF, template clinical site agreement, Bioanalysis Plan and Statistical Analysis Plan, and any material amendments to each of the foregoing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Nektar shall provide BioXcel such approval or rejection within ten (10) Business Days of the date on which BioXcel provides the applicable document to Nektar);</w:t>
      </w:r>
    </w:p>
    <w:p>
      <w:pPr>
        <w:spacing w:after="0" w:line="147" w:lineRule="exact"/>
        <w:rPr>
          <w:rFonts w:ascii="Arial" w:cs="Arial" w:eastAsia="Arial" w:hAnsi="Arial"/>
          <w:sz w:val="19"/>
          <w:szCs w:val="19"/>
          <w:b w:val="1"/>
          <w:bCs w:val="1"/>
          <w:color w:val="auto"/>
        </w:rPr>
      </w:pPr>
    </w:p>
    <w:p>
      <w:pPr>
        <w:jc w:val="both"/>
        <w:ind w:left="1" w:firstLine="1944"/>
        <w:spacing w:after="0" w:line="245" w:lineRule="auto"/>
        <w:tabs>
          <w:tab w:leader="none" w:pos="2615" w:val="left"/>
        </w:tabs>
        <w:numPr>
          <w:ilvl w:val="1"/>
          <w:numId w:val="73"/>
        </w:numPr>
        <w:rPr>
          <w:rFonts w:ascii="Arial" w:cs="Arial" w:eastAsia="Arial" w:hAnsi="Arial"/>
          <w:sz w:val="21"/>
          <w:szCs w:val="21"/>
          <w:b w:val="1"/>
          <w:bCs w:val="1"/>
          <w:color w:val="auto"/>
        </w:rPr>
      </w:pPr>
      <w:r>
        <w:rPr>
          <w:rFonts w:ascii="Arial" w:cs="Arial" w:eastAsia="Arial" w:hAnsi="Arial"/>
          <w:sz w:val="21"/>
          <w:szCs w:val="21"/>
          <w:color w:val="auto"/>
        </w:rPr>
        <w:t xml:space="preserve">coordinating with Nektar and providing to the JDC (or a subcommittee designated by the JDC for such purpose) drafts of (1) submissions to the BioXcel IND (if applicable) and/or the Combined Therapy IND (if applicable); and (2) Combined Therapy Trial Regulatory Documentation, or portions thereof, that relate to the Combined Therapy or the Nektar Compound, for JDC review and approval, and providing Nektar with the opportunity to review, comment on and approve all other written correspondence with a Regulatory Authority relating to the Combined Therapy Trials, to the extent such correspondence relates to the Combined Therapy or the Nektar Compound;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Nektar shall provide BioXcel with written notice of any such comments (and, where applicable, approvals or rejections) within ten (10) Business Days of the date on which BioXcel provides the applicable document to Nektar;</w:t>
      </w:r>
    </w:p>
    <w:p>
      <w:pPr>
        <w:spacing w:after="0" w:line="185" w:lineRule="exact"/>
        <w:rPr>
          <w:rFonts w:ascii="Arial" w:cs="Arial" w:eastAsia="Arial" w:hAnsi="Arial"/>
          <w:sz w:val="21"/>
          <w:szCs w:val="21"/>
          <w:b w:val="1"/>
          <w:bCs w:val="1"/>
          <w:color w:val="auto"/>
        </w:rPr>
      </w:pPr>
    </w:p>
    <w:p>
      <w:pPr>
        <w:jc w:val="both"/>
        <w:ind w:left="1" w:firstLine="1944"/>
        <w:spacing w:after="0" w:line="245" w:lineRule="auto"/>
        <w:tabs>
          <w:tab w:leader="none" w:pos="2688" w:val="left"/>
        </w:tabs>
        <w:numPr>
          <w:ilvl w:val="1"/>
          <w:numId w:val="73"/>
        </w:numPr>
        <w:rPr>
          <w:rFonts w:ascii="Arial" w:cs="Arial" w:eastAsia="Arial" w:hAnsi="Arial"/>
          <w:sz w:val="21"/>
          <w:szCs w:val="21"/>
          <w:b w:val="1"/>
          <w:bCs w:val="1"/>
          <w:color w:val="auto"/>
        </w:rPr>
      </w:pPr>
      <w:r>
        <w:rPr>
          <w:rFonts w:ascii="Arial" w:cs="Arial" w:eastAsia="Arial" w:hAnsi="Arial"/>
          <w:sz w:val="21"/>
          <w:szCs w:val="21"/>
          <w:color w:val="auto"/>
        </w:rPr>
        <w:t>to the extent necessary for the conduct of any Combined Therapy Trial, providing Nektar a Right of Cross-Reference to the relevant Regulatory Documentation for the BioXcel Compound, provided that, such Right of Cross-Reference shall terminate upon the expiration or termination of this Agreement for purposes of conducting any new clinical studies, except that in the case of termination for a Material Safety Issue pursuant to Section 12.4, such Right of Cross-Reference shall remain in effect solely (1) to the extent necessary to permit BioXcel to comply with any outstanding obligations required by a Regulatory Authority and/or Applicable Law or (2) as necessary to permit BioXcel to continue to dose subjects enrolled in each Combined Therapy Trial through completion of the applicable Protocol if required by the applicable Regulatory Authority(ies) and/or Applicable Laws;</w:t>
      </w:r>
    </w:p>
    <w:p>
      <w:pPr>
        <w:spacing w:after="0" w:line="185" w:lineRule="exact"/>
        <w:rPr>
          <w:rFonts w:ascii="Arial" w:cs="Arial" w:eastAsia="Arial" w:hAnsi="Arial"/>
          <w:sz w:val="21"/>
          <w:szCs w:val="21"/>
          <w:b w:val="1"/>
          <w:bCs w:val="1"/>
          <w:color w:val="auto"/>
        </w:rPr>
      </w:pPr>
    </w:p>
    <w:p>
      <w:pPr>
        <w:jc w:val="both"/>
        <w:ind w:left="1" w:firstLine="1944"/>
        <w:spacing w:after="0"/>
        <w:tabs>
          <w:tab w:leader="none" w:pos="2811" w:val="left"/>
        </w:tabs>
        <w:numPr>
          <w:ilvl w:val="1"/>
          <w:numId w:val="73"/>
        </w:numPr>
        <w:rPr>
          <w:rFonts w:ascii="Arial" w:cs="Arial" w:eastAsia="Arial" w:hAnsi="Arial"/>
          <w:sz w:val="22"/>
          <w:szCs w:val="22"/>
          <w:b w:val="1"/>
          <w:bCs w:val="1"/>
          <w:color w:val="auto"/>
        </w:rPr>
      </w:pPr>
      <w:r>
        <w:rPr>
          <w:rFonts w:ascii="Arial" w:cs="Arial" w:eastAsia="Arial" w:hAnsi="Arial"/>
          <w:sz w:val="22"/>
          <w:szCs w:val="22"/>
          <w:color w:val="auto"/>
        </w:rPr>
        <w:t>managing the operations of the Combined Therapy Trials in accordance with the applicable Protocol, including overseeing compliance by any CRO with the terms of its agreement with BioXcel relating to the Combined Therapy Trial;</w:t>
      </w:r>
    </w:p>
    <w:p>
      <w:pPr>
        <w:spacing w:after="0" w:line="186" w:lineRule="exact"/>
        <w:rPr>
          <w:rFonts w:ascii="Arial" w:cs="Arial" w:eastAsia="Arial" w:hAnsi="Arial"/>
          <w:sz w:val="22"/>
          <w:szCs w:val="22"/>
          <w:b w:val="1"/>
          <w:bCs w:val="1"/>
          <w:color w:val="auto"/>
        </w:rPr>
      </w:pPr>
    </w:p>
    <w:p>
      <w:pPr>
        <w:ind w:left="1" w:firstLine="1944"/>
        <w:spacing w:after="0" w:line="251" w:lineRule="auto"/>
        <w:tabs>
          <w:tab w:leader="none" w:pos="2711" w:val="left"/>
        </w:tabs>
        <w:numPr>
          <w:ilvl w:val="1"/>
          <w:numId w:val="73"/>
        </w:numPr>
        <w:rPr>
          <w:rFonts w:ascii="Arial" w:cs="Arial" w:eastAsia="Arial" w:hAnsi="Arial"/>
          <w:sz w:val="22"/>
          <w:szCs w:val="22"/>
          <w:b w:val="1"/>
          <w:bCs w:val="1"/>
          <w:color w:val="auto"/>
        </w:rPr>
      </w:pPr>
      <w:r>
        <w:rPr>
          <w:rFonts w:ascii="Arial" w:cs="Arial" w:eastAsia="Arial" w:hAnsi="Arial"/>
          <w:sz w:val="22"/>
          <w:szCs w:val="22"/>
          <w:color w:val="auto"/>
        </w:rPr>
        <w:t>subject to Sections 2.4 and 2.6(d), providing to Nektar a list of all proposed clinical trial sites and principal investigator(s) for each Combined Therapy Trial;</w:t>
      </w:r>
    </w:p>
    <w:p>
      <w:pPr>
        <w:spacing w:after="0" w:line="173" w:lineRule="exact"/>
        <w:rPr>
          <w:rFonts w:ascii="Arial" w:cs="Arial" w:eastAsia="Arial" w:hAnsi="Arial"/>
          <w:sz w:val="22"/>
          <w:szCs w:val="22"/>
          <w:b w:val="1"/>
          <w:bCs w:val="1"/>
          <w:color w:val="auto"/>
        </w:rPr>
      </w:pPr>
    </w:p>
    <w:p>
      <w:pPr>
        <w:jc w:val="both"/>
        <w:ind w:left="1" w:firstLine="1944"/>
        <w:spacing w:after="0" w:line="273" w:lineRule="auto"/>
        <w:tabs>
          <w:tab w:leader="none" w:pos="2703" w:val="left"/>
        </w:tabs>
        <w:numPr>
          <w:ilvl w:val="1"/>
          <w:numId w:val="73"/>
        </w:numPr>
        <w:rPr>
          <w:rFonts w:ascii="Arial" w:cs="Arial" w:eastAsia="Arial" w:hAnsi="Arial"/>
          <w:sz w:val="19"/>
          <w:szCs w:val="19"/>
          <w:b w:val="1"/>
          <w:bCs w:val="1"/>
          <w:color w:val="auto"/>
        </w:rPr>
      </w:pPr>
      <w:r>
        <w:rPr>
          <w:rFonts w:ascii="Arial" w:cs="Arial" w:eastAsia="Arial" w:hAnsi="Arial"/>
          <w:sz w:val="19"/>
          <w:szCs w:val="19"/>
          <w:color w:val="auto"/>
        </w:rPr>
        <w:t>subject to Sections 2.4 and 2.6(d), ensuring that all clinical trial service agreements and clinical trial site agreements (A) contain intellectual property provisions that retain each of the Parties’ respective intellectual property rights in the BioXcel Compound, Nektar Compound, and Combined Therapy, and</w:t>
      </w:r>
    </w:p>
    <w:p>
      <w:pPr>
        <w:spacing w:after="0" w:line="1" w:lineRule="exact"/>
        <w:rPr>
          <w:rFonts w:ascii="Arial" w:cs="Arial" w:eastAsia="Arial" w:hAnsi="Arial"/>
          <w:sz w:val="19"/>
          <w:szCs w:val="19"/>
          <w:b w:val="1"/>
          <w:bCs w:val="1"/>
          <w:color w:val="auto"/>
        </w:rPr>
      </w:pPr>
    </w:p>
    <w:p>
      <w:pPr>
        <w:ind w:left="1" w:hanging="1"/>
        <w:spacing w:after="0" w:line="237" w:lineRule="auto"/>
        <w:tabs>
          <w:tab w:leader="none" w:pos="401" w:val="left"/>
        </w:tabs>
        <w:numPr>
          <w:ilvl w:val="0"/>
          <w:numId w:val="74"/>
        </w:numPr>
        <w:rPr>
          <w:rFonts w:ascii="Arial" w:cs="Arial" w:eastAsia="Arial" w:hAnsi="Arial"/>
          <w:sz w:val="22"/>
          <w:szCs w:val="22"/>
          <w:color w:val="auto"/>
        </w:rPr>
      </w:pPr>
      <w:r>
        <w:rPr>
          <w:rFonts w:ascii="Arial" w:cs="Arial" w:eastAsia="Arial" w:hAnsi="Arial"/>
          <w:sz w:val="22"/>
          <w:szCs w:val="22"/>
          <w:color w:val="auto"/>
        </w:rPr>
        <w:t>allow for Nektar, as well as BioXcel, to the extent permitted by Applicable Law and any Third Party confidentiality restrictions or obligations,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6" w:name="page97"/>
    <w:bookmarkEnd w:id="96"/>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to audit Combined Therapy Trial study sites for quality assurance and to inspect and copy data, documentation and work products relating to the activities performed by the site, including the medical records of any patient participating in any clinical study;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should Nektar seek to audit a study site (1) Nektar shall solely bear the cost and expense for such audit, (2) BioXcel shall accompany Nektar to such audit, at date and time mutually agreed upon by the Parties and the applicable study site, and (3) Nektar shall provide BioXcel with a copy of any reports resulting from such audit. This right to inspect and copy data, documentation, and work products of a study site may be exercised at any time during the Term, or such longer period as shall be required by Applicable Law;</w:t>
      </w:r>
    </w:p>
    <w:p>
      <w:pPr>
        <w:spacing w:after="0" w:line="153" w:lineRule="exact"/>
        <w:rPr>
          <w:sz w:val="20"/>
          <w:szCs w:val="20"/>
          <w:color w:val="auto"/>
        </w:rPr>
      </w:pPr>
    </w:p>
    <w:p>
      <w:pPr>
        <w:ind w:left="2580" w:hanging="636"/>
        <w:spacing w:after="0"/>
        <w:tabs>
          <w:tab w:leader="none" w:pos="2580"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providing Nektar with copies of each final site template ICF (if requested by Nektar);</w:t>
      </w:r>
    </w:p>
    <w:p>
      <w:pPr>
        <w:spacing w:after="0" w:line="240" w:lineRule="exact"/>
        <w:rPr>
          <w:rFonts w:ascii="Arial" w:cs="Arial" w:eastAsia="Arial" w:hAnsi="Arial"/>
          <w:sz w:val="19"/>
          <w:szCs w:val="19"/>
          <w:b w:val="1"/>
          <w:bCs w:val="1"/>
          <w:color w:val="auto"/>
        </w:rPr>
      </w:pPr>
    </w:p>
    <w:p>
      <w:pPr>
        <w:jc w:val="both"/>
        <w:ind w:firstLine="1944"/>
        <w:spacing w:after="0"/>
        <w:tabs>
          <w:tab w:leader="none" w:pos="2741"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providing Nektar with minutes from any and all external drug safety monitoring boards for the Combined Therapy Trials, if applicable, within two (2) Business Days (or as soon as practicable) after receipt by BioXcel;</w:t>
      </w:r>
    </w:p>
    <w:p>
      <w:pPr>
        <w:spacing w:after="0" w:line="186" w:lineRule="exact"/>
        <w:rPr>
          <w:rFonts w:ascii="Arial" w:cs="Arial" w:eastAsia="Arial" w:hAnsi="Arial"/>
          <w:sz w:val="22"/>
          <w:szCs w:val="22"/>
          <w:b w:val="1"/>
          <w:bCs w:val="1"/>
          <w:color w:val="auto"/>
        </w:rPr>
      </w:pPr>
    </w:p>
    <w:p>
      <w:pPr>
        <w:jc w:val="both"/>
        <w:ind w:firstLine="1944"/>
        <w:spacing w:after="0" w:line="248" w:lineRule="auto"/>
        <w:tabs>
          <w:tab w:leader="none" w:pos="2675" w:val="left"/>
        </w:tabs>
        <w:numPr>
          <w:ilvl w:val="0"/>
          <w:numId w:val="75"/>
        </w:numPr>
        <w:rPr>
          <w:rFonts w:ascii="Arial" w:cs="Arial" w:eastAsia="Arial" w:hAnsi="Arial"/>
          <w:sz w:val="21"/>
          <w:szCs w:val="21"/>
          <w:b w:val="1"/>
          <w:bCs w:val="1"/>
          <w:color w:val="auto"/>
        </w:rPr>
      </w:pPr>
      <w:r>
        <w:rPr>
          <w:rFonts w:ascii="Arial" w:cs="Arial" w:eastAsia="Arial" w:hAnsi="Arial"/>
          <w:sz w:val="21"/>
          <w:szCs w:val="21"/>
          <w:color w:val="auto"/>
        </w:rPr>
        <w:t>providing Nektar with updates on the status of the Combined Therapy Trials at each teleconference for the clinical execution working group, or upon Nektar’s reasonable request, including information regarding the number and status of study sites, the number of screened subjects (actual to target), the number of randomized subjects (actual to target), the number of dosed, ongoing, discontinued and completed subjects, and any safety updates as contemplated by the applicable Protocol, Section 2.1(c), and/or routinely performed by a Party in its normal course of trial management and reporting;</w:t>
      </w:r>
    </w:p>
    <w:p>
      <w:pPr>
        <w:spacing w:after="0" w:line="177" w:lineRule="exact"/>
        <w:rPr>
          <w:rFonts w:ascii="Arial" w:cs="Arial" w:eastAsia="Arial" w:hAnsi="Arial"/>
          <w:sz w:val="21"/>
          <w:szCs w:val="21"/>
          <w:b w:val="1"/>
          <w:bCs w:val="1"/>
          <w:color w:val="auto"/>
        </w:rPr>
      </w:pPr>
    </w:p>
    <w:p>
      <w:pPr>
        <w:jc w:val="both"/>
        <w:ind w:firstLine="1944"/>
        <w:spacing w:after="0" w:line="235" w:lineRule="auto"/>
        <w:tabs>
          <w:tab w:leader="none" w:pos="2872"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subject to the provisions of Section 2.2, owning and being responsible for (or appointing a Third Party reasonably acceptable to Nektar to be responsible for) the maintenance of the Global Safety Database and safety reporting for the Combined Therapy, collecting, evaluating and reporting serious adverse events, other safety data and any further pharmacovigilance information from the Combined Therapy Trials, and providing Nektar with the opportunity to participate in and comment on such pharmacovigilance activities;</w:t>
      </w:r>
    </w:p>
    <w:p>
      <w:pPr>
        <w:spacing w:after="0" w:line="188" w:lineRule="exact"/>
        <w:rPr>
          <w:rFonts w:ascii="Arial" w:cs="Arial" w:eastAsia="Arial" w:hAnsi="Arial"/>
          <w:sz w:val="22"/>
          <w:szCs w:val="22"/>
          <w:b w:val="1"/>
          <w:bCs w:val="1"/>
          <w:color w:val="auto"/>
        </w:rPr>
      </w:pPr>
    </w:p>
    <w:p>
      <w:pPr>
        <w:jc w:val="both"/>
        <w:ind w:firstLine="1944"/>
        <w:spacing w:after="0" w:line="238" w:lineRule="auto"/>
        <w:tabs>
          <w:tab w:leader="none" w:pos="2689"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providing Nektar with access to all safety information (including any updates to the investigator’s brochure for the BioXcel Compound) in the Global Safety Database through the provision of case safety reports (“</w:t>
      </w:r>
      <w:r>
        <w:rPr>
          <w:rFonts w:ascii="Arial" w:cs="Arial" w:eastAsia="Arial" w:hAnsi="Arial"/>
          <w:sz w:val="22"/>
          <w:szCs w:val="22"/>
          <w:b w:val="1"/>
          <w:bCs w:val="1"/>
          <w:i w:val="1"/>
          <w:iCs w:val="1"/>
          <w:color w:val="auto"/>
        </w:rPr>
        <w:t>CSRs</w:t>
      </w:r>
      <w:r>
        <w:rPr>
          <w:rFonts w:ascii="Arial" w:cs="Arial" w:eastAsia="Arial" w:hAnsi="Arial"/>
          <w:sz w:val="22"/>
          <w:szCs w:val="22"/>
          <w:color w:val="auto"/>
        </w:rPr>
        <w:t>”) and listings related to the Combined Therapy or the Nektar Compound during the Combined Therapy Trials in accordance with Section 2.2;</w:t>
      </w:r>
    </w:p>
    <w:p>
      <w:pPr>
        <w:spacing w:after="0" w:line="185" w:lineRule="exact"/>
        <w:rPr>
          <w:rFonts w:ascii="Arial" w:cs="Arial" w:eastAsia="Arial" w:hAnsi="Arial"/>
          <w:sz w:val="22"/>
          <w:szCs w:val="22"/>
          <w:b w:val="1"/>
          <w:bCs w:val="1"/>
          <w:color w:val="auto"/>
        </w:rPr>
      </w:pPr>
    </w:p>
    <w:p>
      <w:pPr>
        <w:ind w:firstLine="1944"/>
        <w:spacing w:after="0" w:line="251" w:lineRule="auto"/>
        <w:tabs>
          <w:tab w:leader="none" w:pos="2600" w:val="left"/>
        </w:tabs>
        <w:numPr>
          <w:ilvl w:val="0"/>
          <w:numId w:val="75"/>
        </w:numPr>
        <w:rPr>
          <w:rFonts w:ascii="Arial" w:cs="Arial" w:eastAsia="Arial" w:hAnsi="Arial"/>
          <w:sz w:val="22"/>
          <w:szCs w:val="22"/>
          <w:b w:val="1"/>
          <w:bCs w:val="1"/>
          <w:color w:val="auto"/>
        </w:rPr>
      </w:pPr>
      <w:r>
        <w:rPr>
          <w:rFonts w:ascii="Arial" w:cs="Arial" w:eastAsia="Arial" w:hAnsi="Arial"/>
          <w:sz w:val="22"/>
          <w:szCs w:val="22"/>
          <w:color w:val="auto"/>
        </w:rPr>
        <w:t>analyzing the Study Data in a timely fashion and providing Nektar with access to the Study Data from the applicable Combined Therapy Trial as follows:</w:t>
      </w:r>
    </w:p>
    <w:p>
      <w:pPr>
        <w:spacing w:after="0" w:line="173" w:lineRule="exact"/>
        <w:rPr>
          <w:rFonts w:ascii="Arial" w:cs="Arial" w:eastAsia="Arial" w:hAnsi="Arial"/>
          <w:sz w:val="22"/>
          <w:szCs w:val="22"/>
          <w:b w:val="1"/>
          <w:bCs w:val="1"/>
          <w:color w:val="auto"/>
        </w:rPr>
      </w:pPr>
    </w:p>
    <w:p>
      <w:pPr>
        <w:jc w:val="both"/>
        <w:ind w:firstLine="2592"/>
        <w:spacing w:after="0" w:line="238" w:lineRule="auto"/>
        <w:tabs>
          <w:tab w:leader="none" w:pos="3277" w:val="left"/>
        </w:tabs>
        <w:numPr>
          <w:ilvl w:val="1"/>
          <w:numId w:val="75"/>
        </w:numPr>
        <w:rPr>
          <w:rFonts w:ascii="Arial" w:cs="Arial" w:eastAsia="Arial" w:hAnsi="Arial"/>
          <w:sz w:val="22"/>
          <w:szCs w:val="22"/>
          <w:b w:val="1"/>
          <w:bCs w:val="1"/>
          <w:color w:val="auto"/>
        </w:rPr>
      </w:pPr>
      <w:r>
        <w:rPr>
          <w:rFonts w:ascii="Arial" w:cs="Arial" w:eastAsia="Arial" w:hAnsi="Arial"/>
          <w:sz w:val="22"/>
          <w:szCs w:val="22"/>
          <w:color w:val="auto"/>
        </w:rPr>
        <w:t>pursuant to an appropriate timetable determined by the JDC : (A) sharing with Nektar for review and comment drafts of interim, ongoing and/or final clinical trial reports (and/or statistical analyses in accordance with the Statistical Analysis Plan) from the Combined Therapy Trial and (B) providing the raw Study Data in electronic or other mutually agreed format;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7" w:name="page98"/>
    <w:bookmarkEnd w:id="97"/>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ind w:left="3281" w:hanging="688"/>
        <w:spacing w:after="0"/>
        <w:tabs>
          <w:tab w:leader="none" w:pos="3281" w:val="left"/>
        </w:tabs>
        <w:numPr>
          <w:ilvl w:val="2"/>
          <w:numId w:val="76"/>
        </w:numPr>
        <w:rPr>
          <w:rFonts w:ascii="Arial" w:cs="Arial" w:eastAsia="Arial" w:hAnsi="Arial"/>
          <w:sz w:val="22"/>
          <w:szCs w:val="22"/>
          <w:b w:val="1"/>
          <w:bCs w:val="1"/>
          <w:color w:val="auto"/>
        </w:rPr>
      </w:pPr>
      <w:r>
        <w:rPr>
          <w:rFonts w:ascii="Arial" w:cs="Arial" w:eastAsia="Arial" w:hAnsi="Arial"/>
          <w:sz w:val="22"/>
          <w:szCs w:val="22"/>
          <w:color w:val="auto"/>
        </w:rPr>
        <w:t>providing Nektar with a report of the safety data;</w:t>
      </w:r>
    </w:p>
    <w:p>
      <w:pPr>
        <w:spacing w:after="0" w:line="206" w:lineRule="exact"/>
        <w:rPr>
          <w:rFonts w:ascii="Arial" w:cs="Arial" w:eastAsia="Arial" w:hAnsi="Arial"/>
          <w:sz w:val="22"/>
          <w:szCs w:val="22"/>
          <w:b w:val="1"/>
          <w:bCs w:val="1"/>
          <w:color w:val="auto"/>
        </w:rPr>
      </w:pPr>
    </w:p>
    <w:p>
      <w:pPr>
        <w:jc w:val="both"/>
        <w:ind w:left="1" w:firstLine="2592"/>
        <w:spacing w:after="0"/>
        <w:tabs>
          <w:tab w:leader="none" w:pos="3454" w:val="left"/>
        </w:tabs>
        <w:numPr>
          <w:ilvl w:val="2"/>
          <w:numId w:val="76"/>
        </w:numPr>
        <w:rPr>
          <w:rFonts w:ascii="Arial" w:cs="Arial" w:eastAsia="Arial" w:hAnsi="Arial"/>
          <w:sz w:val="22"/>
          <w:szCs w:val="22"/>
          <w:b w:val="1"/>
          <w:bCs w:val="1"/>
          <w:color w:val="auto"/>
        </w:rPr>
      </w:pPr>
      <w:r>
        <w:rPr>
          <w:rFonts w:ascii="Arial" w:cs="Arial" w:eastAsia="Arial" w:hAnsi="Arial"/>
          <w:sz w:val="22"/>
          <w:szCs w:val="22"/>
          <w:color w:val="auto"/>
        </w:rPr>
        <w:t>within approximately six (6) weeks from the completion of the Combined Therapy Trial, provide to Nektar case report forms or patient profiles for all patients in each Combined Therapy Trial;</w:t>
      </w:r>
    </w:p>
    <w:p>
      <w:pPr>
        <w:spacing w:after="0" w:line="186" w:lineRule="exact"/>
        <w:rPr>
          <w:rFonts w:ascii="Arial" w:cs="Arial" w:eastAsia="Arial" w:hAnsi="Arial"/>
          <w:sz w:val="22"/>
          <w:szCs w:val="22"/>
          <w:b w:val="1"/>
          <w:bCs w:val="1"/>
          <w:color w:val="auto"/>
        </w:rPr>
      </w:pPr>
    </w:p>
    <w:p>
      <w:pPr>
        <w:jc w:val="both"/>
        <w:ind w:left="1" w:firstLine="2592"/>
        <w:spacing w:after="0" w:line="236" w:lineRule="auto"/>
        <w:tabs>
          <w:tab w:leader="none" w:pos="3292" w:val="left"/>
        </w:tabs>
        <w:numPr>
          <w:ilvl w:val="2"/>
          <w:numId w:val="76"/>
        </w:numPr>
        <w:rPr>
          <w:rFonts w:ascii="Arial" w:cs="Arial" w:eastAsia="Arial" w:hAnsi="Arial"/>
          <w:sz w:val="22"/>
          <w:szCs w:val="22"/>
          <w:b w:val="1"/>
          <w:bCs w:val="1"/>
          <w:color w:val="auto"/>
        </w:rPr>
      </w:pPr>
      <w:r>
        <w:rPr>
          <w:rFonts w:ascii="Arial" w:cs="Arial" w:eastAsia="Arial" w:hAnsi="Arial"/>
          <w:sz w:val="22"/>
          <w:szCs w:val="22"/>
          <w:color w:val="auto"/>
        </w:rPr>
        <w:t>within sixty (60) calendar days of the creation of a quality checked and closed database for the Combined Therapy Trial, copies of the Form 1572s, financial disclosures and other relevant documents required to meet regulatory requirements related to the Combined Therapy Trial (including any data or documents that may be required to provide Aggregate Safety Information to a Regulatory Authority with respect to the Nektar Compound);</w:t>
      </w:r>
    </w:p>
    <w:p>
      <w:pPr>
        <w:spacing w:after="0" w:line="187" w:lineRule="exact"/>
        <w:rPr>
          <w:rFonts w:ascii="Arial" w:cs="Arial" w:eastAsia="Arial" w:hAnsi="Arial"/>
          <w:sz w:val="22"/>
          <w:szCs w:val="22"/>
          <w:b w:val="1"/>
          <w:bCs w:val="1"/>
          <w:color w:val="auto"/>
        </w:rPr>
      </w:pPr>
    </w:p>
    <w:p>
      <w:pPr>
        <w:ind w:left="3421" w:hanging="828"/>
        <w:spacing w:after="0"/>
        <w:tabs>
          <w:tab w:leader="none" w:pos="3421" w:val="left"/>
        </w:tabs>
        <w:numPr>
          <w:ilvl w:val="2"/>
          <w:numId w:val="76"/>
        </w:numPr>
        <w:rPr>
          <w:rFonts w:ascii="Arial" w:cs="Arial" w:eastAsia="Arial" w:hAnsi="Arial"/>
          <w:sz w:val="19"/>
          <w:szCs w:val="19"/>
          <w:b w:val="1"/>
          <w:bCs w:val="1"/>
          <w:color w:val="auto"/>
        </w:rPr>
      </w:pPr>
      <w:r>
        <w:rPr>
          <w:rFonts w:ascii="Arial" w:cs="Arial" w:eastAsia="Arial" w:hAnsi="Arial"/>
          <w:sz w:val="19"/>
          <w:szCs w:val="19"/>
          <w:color w:val="auto"/>
        </w:rPr>
        <w:t>within approximately six (6) weeks of the creation of an electronic quality</w:t>
      </w:r>
    </w:p>
    <w:p>
      <w:pPr>
        <w:spacing w:after="0" w:line="42" w:lineRule="exact"/>
        <w:rPr>
          <w:rFonts w:ascii="Arial" w:cs="Arial" w:eastAsia="Arial" w:hAnsi="Arial"/>
          <w:sz w:val="19"/>
          <w:szCs w:val="19"/>
          <w:b w:val="1"/>
          <w:bCs w:val="1"/>
          <w:color w:val="auto"/>
        </w:rPr>
      </w:pPr>
    </w:p>
    <w:p>
      <w:pPr>
        <w:ind w:left="1"/>
        <w:spacing w:after="0"/>
        <w:rPr>
          <w:rFonts w:ascii="Arial" w:cs="Arial" w:eastAsia="Arial" w:hAnsi="Arial"/>
          <w:sz w:val="19"/>
          <w:szCs w:val="19"/>
          <w:b w:val="1"/>
          <w:bCs w:val="1"/>
          <w:color w:val="auto"/>
        </w:rPr>
      </w:pPr>
      <w:r>
        <w:rPr>
          <w:rFonts w:ascii="Arial" w:cs="Arial" w:eastAsia="Arial" w:hAnsi="Arial"/>
          <w:sz w:val="21"/>
          <w:szCs w:val="21"/>
          <w:color w:val="auto"/>
        </w:rPr>
        <w:t>checked and closed database for the Combined Therapy Trial, an electronic copy of the such database; and</w:t>
      </w:r>
    </w:p>
    <w:p>
      <w:pPr>
        <w:spacing w:after="0" w:line="199" w:lineRule="exact"/>
        <w:rPr>
          <w:rFonts w:ascii="Arial" w:cs="Arial" w:eastAsia="Arial" w:hAnsi="Arial"/>
          <w:sz w:val="19"/>
          <w:szCs w:val="19"/>
          <w:b w:val="1"/>
          <w:bCs w:val="1"/>
          <w:color w:val="auto"/>
        </w:rPr>
      </w:pPr>
    </w:p>
    <w:p>
      <w:pPr>
        <w:ind w:left="1" w:firstLine="2592"/>
        <w:spacing w:after="0" w:line="251" w:lineRule="auto"/>
        <w:tabs>
          <w:tab w:leader="none" w:pos="3616" w:val="left"/>
        </w:tabs>
        <w:numPr>
          <w:ilvl w:val="2"/>
          <w:numId w:val="76"/>
        </w:numPr>
        <w:rPr>
          <w:rFonts w:ascii="Arial" w:cs="Arial" w:eastAsia="Arial" w:hAnsi="Arial"/>
          <w:sz w:val="22"/>
          <w:szCs w:val="22"/>
          <w:b w:val="1"/>
          <w:bCs w:val="1"/>
          <w:color w:val="auto"/>
        </w:rPr>
      </w:pPr>
      <w:r>
        <w:rPr>
          <w:rFonts w:ascii="Arial" w:cs="Arial" w:eastAsia="Arial" w:hAnsi="Arial"/>
          <w:sz w:val="22"/>
          <w:szCs w:val="22"/>
          <w:color w:val="auto"/>
        </w:rPr>
        <w:t>providing Nektar with any programs or SAS codes to be used for the Statistical Analysis Plan for the Combined Therapy Trial;</w:t>
      </w:r>
    </w:p>
    <w:p>
      <w:pPr>
        <w:spacing w:after="0" w:line="173" w:lineRule="exact"/>
        <w:rPr>
          <w:rFonts w:ascii="Arial" w:cs="Arial" w:eastAsia="Arial" w:hAnsi="Arial"/>
          <w:sz w:val="22"/>
          <w:szCs w:val="22"/>
          <w:b w:val="1"/>
          <w:bCs w:val="1"/>
          <w:color w:val="auto"/>
        </w:rPr>
      </w:pPr>
    </w:p>
    <w:p>
      <w:pPr>
        <w:jc w:val="both"/>
        <w:ind w:left="1" w:firstLine="1944"/>
        <w:spacing w:after="0" w:line="273" w:lineRule="auto"/>
        <w:tabs>
          <w:tab w:leader="none" w:pos="2621"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obtaining supplies of any co-medications, to the extent any such co-medications are required for use in any Combined Therapy Trial, and providing to Nektar any information related to each Combined Therapy Trial that is provided to the manufacturer of any co-medication pursuant to Section 9.5 herein within five</w:t>
      </w:r>
    </w:p>
    <w:p>
      <w:pPr>
        <w:spacing w:after="0" w:line="1" w:lineRule="exact"/>
        <w:rPr>
          <w:rFonts w:ascii="Arial" w:cs="Arial" w:eastAsia="Arial" w:hAnsi="Arial"/>
          <w:sz w:val="19"/>
          <w:szCs w:val="19"/>
          <w:b w:val="1"/>
          <w:bCs w:val="1"/>
          <w:color w:val="auto"/>
        </w:rPr>
      </w:pPr>
    </w:p>
    <w:p>
      <w:pPr>
        <w:ind w:left="301" w:hanging="301"/>
        <w:spacing w:after="0"/>
        <w:tabs>
          <w:tab w:leader="none" w:pos="301" w:val="left"/>
        </w:tabs>
        <w:numPr>
          <w:ilvl w:val="0"/>
          <w:numId w:val="78"/>
        </w:numPr>
        <w:rPr>
          <w:rFonts w:ascii="Arial" w:cs="Arial" w:eastAsia="Arial" w:hAnsi="Arial"/>
          <w:sz w:val="22"/>
          <w:szCs w:val="22"/>
          <w:color w:val="auto"/>
        </w:rPr>
      </w:pPr>
      <w:r>
        <w:rPr>
          <w:rFonts w:ascii="Arial" w:cs="Arial" w:eastAsia="Arial" w:hAnsi="Arial"/>
          <w:sz w:val="22"/>
          <w:szCs w:val="22"/>
          <w:color w:val="auto"/>
        </w:rPr>
        <w:t>Business Days after the provision of the information to the manufacturer;</w:t>
      </w:r>
    </w:p>
    <w:p>
      <w:pPr>
        <w:spacing w:after="0" w:line="188" w:lineRule="exact"/>
        <w:rPr>
          <w:rFonts w:ascii="Arial" w:cs="Arial" w:eastAsia="Arial" w:hAnsi="Arial"/>
          <w:sz w:val="22"/>
          <w:szCs w:val="22"/>
          <w:color w:val="auto"/>
        </w:rPr>
      </w:pPr>
    </w:p>
    <w:p>
      <w:pPr>
        <w:ind w:left="1" w:firstLine="1944"/>
        <w:spacing w:after="0" w:line="328" w:lineRule="auto"/>
        <w:tabs>
          <w:tab w:leader="none" w:pos="2676" w:val="left"/>
        </w:tabs>
        <w:numPr>
          <w:ilvl w:val="1"/>
          <w:numId w:val="78"/>
        </w:numPr>
        <w:rPr>
          <w:rFonts w:ascii="Arial" w:cs="Arial" w:eastAsia="Arial" w:hAnsi="Arial"/>
          <w:sz w:val="19"/>
          <w:szCs w:val="19"/>
          <w:b w:val="1"/>
          <w:bCs w:val="1"/>
          <w:color w:val="auto"/>
        </w:rPr>
      </w:pPr>
      <w:r>
        <w:rPr>
          <w:rFonts w:ascii="Arial" w:cs="Arial" w:eastAsia="Arial" w:hAnsi="Arial"/>
          <w:sz w:val="19"/>
          <w:szCs w:val="19"/>
          <w:color w:val="auto"/>
        </w:rPr>
        <w:t>providing Nektar with any information regarding the pharmacokinetics, efficacy and safety of the Nektar Compound alone or in combination with the BioXcel Compound and/or the CPI Compound;</w:t>
      </w:r>
    </w:p>
    <w:p>
      <w:pPr>
        <w:spacing w:after="0" w:line="105" w:lineRule="exact"/>
        <w:rPr>
          <w:rFonts w:ascii="Arial" w:cs="Arial" w:eastAsia="Arial" w:hAnsi="Arial"/>
          <w:sz w:val="19"/>
          <w:szCs w:val="19"/>
          <w:b w:val="1"/>
          <w:bCs w:val="1"/>
          <w:color w:val="auto"/>
        </w:rPr>
      </w:pPr>
    </w:p>
    <w:p>
      <w:pPr>
        <w:jc w:val="both"/>
        <w:ind w:left="1" w:firstLine="1944"/>
        <w:spacing w:after="0"/>
        <w:tabs>
          <w:tab w:leader="none" w:pos="2711" w:val="left"/>
        </w:tabs>
        <w:numPr>
          <w:ilvl w:val="1"/>
          <w:numId w:val="78"/>
        </w:numPr>
        <w:rPr>
          <w:rFonts w:ascii="Arial" w:cs="Arial" w:eastAsia="Arial" w:hAnsi="Arial"/>
          <w:sz w:val="22"/>
          <w:szCs w:val="22"/>
          <w:b w:val="1"/>
          <w:bCs w:val="1"/>
          <w:color w:val="auto"/>
        </w:rPr>
      </w:pPr>
      <w:r>
        <w:rPr>
          <w:rFonts w:ascii="Arial" w:cs="Arial" w:eastAsia="Arial" w:hAnsi="Arial"/>
          <w:sz w:val="22"/>
          <w:szCs w:val="22"/>
          <w:color w:val="auto"/>
        </w:rPr>
        <w:t>providing for the release by a Qualified Person (as such term will be defined in the Quality Agreement), or providing the necessary documentation in support of such quality release, of the BioXcel Compound if such release is required for any Combined Therapy Trial;</w:t>
      </w:r>
    </w:p>
    <w:p>
      <w:pPr>
        <w:spacing w:after="0" w:line="186" w:lineRule="exact"/>
        <w:rPr>
          <w:rFonts w:ascii="Arial" w:cs="Arial" w:eastAsia="Arial" w:hAnsi="Arial"/>
          <w:sz w:val="22"/>
          <w:szCs w:val="22"/>
          <w:b w:val="1"/>
          <w:bCs w:val="1"/>
          <w:color w:val="auto"/>
        </w:rPr>
      </w:pPr>
    </w:p>
    <w:p>
      <w:pPr>
        <w:ind w:left="2641" w:hanging="696"/>
        <w:spacing w:after="0"/>
        <w:tabs>
          <w:tab w:leader="none" w:pos="2641" w:val="left"/>
        </w:tabs>
        <w:numPr>
          <w:ilvl w:val="1"/>
          <w:numId w:val="78"/>
        </w:numPr>
        <w:rPr>
          <w:rFonts w:ascii="Arial" w:cs="Arial" w:eastAsia="Arial" w:hAnsi="Arial"/>
          <w:sz w:val="21"/>
          <w:szCs w:val="21"/>
          <w:b w:val="1"/>
          <w:bCs w:val="1"/>
          <w:color w:val="auto"/>
        </w:rPr>
      </w:pPr>
      <w:r>
        <w:rPr>
          <w:rFonts w:ascii="Arial" w:cs="Arial" w:eastAsia="Arial" w:hAnsi="Arial"/>
          <w:sz w:val="21"/>
          <w:szCs w:val="21"/>
          <w:color w:val="auto"/>
        </w:rPr>
        <w:t>performing either directly or through Third Parties collection of Samples; and</w:t>
      </w:r>
    </w:p>
    <w:p>
      <w:pPr>
        <w:spacing w:after="0" w:line="217" w:lineRule="exact"/>
        <w:rPr>
          <w:rFonts w:ascii="Arial" w:cs="Arial" w:eastAsia="Arial" w:hAnsi="Arial"/>
          <w:sz w:val="21"/>
          <w:szCs w:val="21"/>
          <w:b w:val="1"/>
          <w:bCs w:val="1"/>
          <w:color w:val="auto"/>
        </w:rPr>
      </w:pPr>
    </w:p>
    <w:p>
      <w:pPr>
        <w:ind w:left="2641" w:hanging="696"/>
        <w:spacing w:after="0"/>
        <w:tabs>
          <w:tab w:leader="none" w:pos="2641" w:val="left"/>
        </w:tabs>
        <w:numPr>
          <w:ilvl w:val="1"/>
          <w:numId w:val="78"/>
        </w:numPr>
        <w:rPr>
          <w:rFonts w:ascii="Arial" w:cs="Arial" w:eastAsia="Arial" w:hAnsi="Arial"/>
          <w:sz w:val="19"/>
          <w:szCs w:val="19"/>
          <w:b w:val="1"/>
          <w:bCs w:val="1"/>
          <w:color w:val="auto"/>
        </w:rPr>
      </w:pPr>
      <w:r>
        <w:rPr>
          <w:rFonts w:ascii="Arial" w:cs="Arial" w:eastAsia="Arial" w:hAnsi="Arial"/>
          <w:sz w:val="19"/>
          <w:szCs w:val="19"/>
          <w:color w:val="auto"/>
        </w:rPr>
        <w:t>such other responsibilities as may be agreed to by the Parties or determined by the</w:t>
      </w:r>
    </w:p>
    <w:p>
      <w:pPr>
        <w:spacing w:after="0" w:line="42" w:lineRule="exact"/>
        <w:rPr>
          <w:rFonts w:ascii="Arial" w:cs="Arial" w:eastAsia="Arial" w:hAnsi="Arial"/>
          <w:sz w:val="19"/>
          <w:szCs w:val="19"/>
          <w:b w:val="1"/>
          <w:bCs w:val="1"/>
          <w:color w:val="auto"/>
        </w:rPr>
      </w:pPr>
    </w:p>
    <w:p>
      <w:pPr>
        <w:ind w:left="1"/>
        <w:spacing w:after="0"/>
        <w:rPr>
          <w:rFonts w:ascii="Arial" w:cs="Arial" w:eastAsia="Arial" w:hAnsi="Arial"/>
          <w:sz w:val="19"/>
          <w:szCs w:val="19"/>
          <w:b w:val="1"/>
          <w:bCs w:val="1"/>
          <w:color w:val="auto"/>
        </w:rPr>
      </w:pPr>
      <w:r>
        <w:rPr>
          <w:rFonts w:ascii="Arial" w:cs="Arial" w:eastAsia="Arial" w:hAnsi="Arial"/>
          <w:sz w:val="22"/>
          <w:szCs w:val="22"/>
          <w:color w:val="auto"/>
        </w:rPr>
        <w:t>JDC.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98" w:name="page99"/>
    <w:bookmarkEnd w:id="98"/>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1296"/>
        <w:spacing w:after="0" w:line="237" w:lineRule="auto"/>
        <w:tabs>
          <w:tab w:leader="none" w:pos="1901"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Responsibilities of Nektar. </w:t>
      </w:r>
      <w:r>
        <w:rPr>
          <w:rFonts w:ascii="Arial" w:cs="Arial" w:eastAsia="Arial" w:hAnsi="Arial"/>
          <w:sz w:val="22"/>
          <w:szCs w:val="22"/>
          <w:color w:val="auto"/>
        </w:rPr>
        <w:t>Subject to JDC direction as provided in Section 2.4 and Nektar’s</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Commercially Reasonably Efforts, Nektar shall be responsible for the following activities, subject in each case (except as expressly provided in Section 4.2(a) with respect to the Manufacture and supply of the Nektar Compound) to the Parties sharing the applicable Third Party Study Costs related to such activities in accordance with Section 7.1:</w:t>
      </w:r>
    </w:p>
    <w:p>
      <w:pPr>
        <w:spacing w:after="0" w:line="188" w:lineRule="exact"/>
        <w:rPr>
          <w:rFonts w:ascii="Arial" w:cs="Arial" w:eastAsia="Arial" w:hAnsi="Arial"/>
          <w:sz w:val="22"/>
          <w:szCs w:val="22"/>
          <w:b w:val="1"/>
          <w:bCs w:val="1"/>
          <w:color w:val="auto"/>
        </w:rPr>
      </w:pPr>
    </w:p>
    <w:p>
      <w:pPr>
        <w:jc w:val="both"/>
        <w:ind w:firstLine="1944"/>
        <w:spacing w:after="0" w:line="297" w:lineRule="auto"/>
        <w:tabs>
          <w:tab w:leader="none" w:pos="2824" w:val="left"/>
        </w:tabs>
        <w:numPr>
          <w:ilvl w:val="1"/>
          <w:numId w:val="79"/>
        </w:numPr>
        <w:rPr>
          <w:rFonts w:ascii="Arial" w:cs="Arial" w:eastAsia="Arial" w:hAnsi="Arial"/>
          <w:sz w:val="19"/>
          <w:szCs w:val="19"/>
          <w:b w:val="1"/>
          <w:bCs w:val="1"/>
          <w:color w:val="auto"/>
        </w:rPr>
      </w:pPr>
      <w:r>
        <w:rPr>
          <w:rFonts w:ascii="Arial" w:cs="Arial" w:eastAsia="Arial" w:hAnsi="Arial"/>
          <w:sz w:val="19"/>
          <w:szCs w:val="19"/>
          <w:color w:val="auto"/>
        </w:rPr>
        <w:t>manufacturing and supplying unlabeled vials of the Nektar Compound, as further described in Article 4, and providing for the release by a Qualified Person or providing the necessary documentation in support of quality release, of the Nektar Compound if such release is required for the Combined Therapy Trial;</w:t>
      </w:r>
    </w:p>
    <w:p>
      <w:pPr>
        <w:spacing w:after="0" w:line="134" w:lineRule="exact"/>
        <w:rPr>
          <w:rFonts w:ascii="Arial" w:cs="Arial" w:eastAsia="Arial" w:hAnsi="Arial"/>
          <w:sz w:val="19"/>
          <w:szCs w:val="19"/>
          <w:b w:val="1"/>
          <w:bCs w:val="1"/>
          <w:color w:val="auto"/>
        </w:rPr>
      </w:pPr>
    </w:p>
    <w:p>
      <w:pPr>
        <w:jc w:val="both"/>
        <w:ind w:firstLine="1944"/>
        <w:spacing w:after="0" w:line="248" w:lineRule="auto"/>
        <w:tabs>
          <w:tab w:leader="none" w:pos="2641" w:val="left"/>
        </w:tabs>
        <w:numPr>
          <w:ilvl w:val="1"/>
          <w:numId w:val="79"/>
        </w:numPr>
        <w:rPr>
          <w:rFonts w:ascii="Arial" w:cs="Arial" w:eastAsia="Arial" w:hAnsi="Arial"/>
          <w:sz w:val="21"/>
          <w:szCs w:val="21"/>
          <w:b w:val="1"/>
          <w:bCs w:val="1"/>
          <w:color w:val="auto"/>
        </w:rPr>
      </w:pPr>
      <w:r>
        <w:rPr>
          <w:rFonts w:ascii="Arial" w:cs="Arial" w:eastAsia="Arial" w:hAnsi="Arial"/>
          <w:sz w:val="21"/>
          <w:szCs w:val="21"/>
          <w:color w:val="auto"/>
        </w:rPr>
        <w:t>promptly reviewing and providing comments on and communicating its approval (or rejection) of each Protocol, the Nektar and BioXcel investigator’s brochures for each Combined Therapy Trial (as it relates to the Nektar Compound and the Combined Therapy), any template ICF, Bioanalysis Plan and Statistical Analysis Plan, and any amendments to each of the foregoing (provided that Nektar shall provide BioXcel with written notice of any such comments (and, where applicable, approvals or rejections) within ten (10) Business Days of the date on which BioXcel provides the applicable document to Nektar;</w:t>
      </w:r>
    </w:p>
    <w:p>
      <w:pPr>
        <w:spacing w:after="0" w:line="177" w:lineRule="exact"/>
        <w:rPr>
          <w:rFonts w:ascii="Arial" w:cs="Arial" w:eastAsia="Arial" w:hAnsi="Arial"/>
          <w:sz w:val="21"/>
          <w:szCs w:val="21"/>
          <w:b w:val="1"/>
          <w:bCs w:val="1"/>
          <w:color w:val="auto"/>
        </w:rPr>
      </w:pPr>
    </w:p>
    <w:p>
      <w:pPr>
        <w:jc w:val="both"/>
        <w:ind w:firstLine="1944"/>
        <w:spacing w:after="0" w:line="245" w:lineRule="auto"/>
        <w:tabs>
          <w:tab w:leader="none" w:pos="2728" w:val="left"/>
        </w:tabs>
        <w:numPr>
          <w:ilvl w:val="1"/>
          <w:numId w:val="79"/>
        </w:numPr>
        <w:rPr>
          <w:rFonts w:ascii="Arial" w:cs="Arial" w:eastAsia="Arial" w:hAnsi="Arial"/>
          <w:sz w:val="21"/>
          <w:szCs w:val="21"/>
          <w:b w:val="1"/>
          <w:bCs w:val="1"/>
          <w:color w:val="auto"/>
        </w:rPr>
      </w:pPr>
      <w:r>
        <w:rPr>
          <w:rFonts w:ascii="Arial" w:cs="Arial" w:eastAsia="Arial" w:hAnsi="Arial"/>
          <w:sz w:val="21"/>
          <w:szCs w:val="21"/>
          <w:color w:val="auto"/>
        </w:rPr>
        <w:t>to the extent necessary for the conduct of any Combined Therapy Trial, providing BioXcel a Right of Cross-Reference to the relevant Regulatory Documentation for the Nektar Compound, provided that, except as provided in Section 3.2, such Right of Cross-Reference shall terminate upon the expiration or termination of this Agreement for purposes of conducting any new clinical studies, except that in the case of termination for a Material Safety Issue pursuant to Section 12.4, such Right of Cross-Reference shall remain in effect solely (1) to the extent necessary to permit BioXcel to comply with any outstanding obligations required by a Regulatory Authority and/or Applicable Law or (2) as necessary to permit BioXcel to continue to dose subjects enrolled in each Combined Therapy Trial through completion of the applicable Protocol if required by the applicable Regulatory Authority(ies) and/or Applicable Laws;</w:t>
      </w:r>
    </w:p>
    <w:p>
      <w:pPr>
        <w:spacing w:after="0" w:line="185" w:lineRule="exact"/>
        <w:rPr>
          <w:rFonts w:ascii="Arial" w:cs="Arial" w:eastAsia="Arial" w:hAnsi="Arial"/>
          <w:sz w:val="21"/>
          <w:szCs w:val="21"/>
          <w:b w:val="1"/>
          <w:bCs w:val="1"/>
          <w:color w:val="auto"/>
        </w:rPr>
      </w:pPr>
    </w:p>
    <w:p>
      <w:pPr>
        <w:jc w:val="both"/>
        <w:ind w:firstLine="1944"/>
        <w:spacing w:after="0" w:line="244" w:lineRule="auto"/>
        <w:tabs>
          <w:tab w:leader="none" w:pos="2797" w:val="left"/>
        </w:tabs>
        <w:numPr>
          <w:ilvl w:val="1"/>
          <w:numId w:val="79"/>
        </w:numPr>
        <w:rPr>
          <w:rFonts w:ascii="Arial" w:cs="Arial" w:eastAsia="Arial" w:hAnsi="Arial"/>
          <w:sz w:val="21"/>
          <w:szCs w:val="21"/>
          <w:b w:val="1"/>
          <w:bCs w:val="1"/>
          <w:color w:val="auto"/>
        </w:rPr>
      </w:pPr>
      <w:r>
        <w:rPr>
          <w:rFonts w:ascii="Arial" w:cs="Arial" w:eastAsia="Arial" w:hAnsi="Arial"/>
          <w:sz w:val="21"/>
          <w:szCs w:val="21"/>
          <w:color w:val="auto"/>
        </w:rPr>
        <w:t>jointly reviewing, providing comments to BioXcel within [***] ([***]) Business Days on, and (if inconsistent with the applicable Protocol(s)) approving all Combined Therapy Trial Regulatory Documentation and providing BioXcel with copies of Nektar Regulatory Documentation, as both Parties agree is necessary or reasonably expected to be necessary, and is requested by BioXcel, (1) to obtain and maintain the IND for the Combined Therapy Trials and prepare and file any Combined Therapy Trial Regulatory Documentation in accordance with this Agreement, or (2) to comply with Applicable Law with regard to the BioXcel Compound and the Combined Therapy Trials, which may include information regarding the pharmacokinetics, efficacy and safety of the Nektar Compound alone or in combination with the BioXcel Compound and/or the CPI Compound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that </w:t>
      </w:r>
      <w:r>
        <w:rPr>
          <w:rFonts w:ascii="Arial" w:cs="Arial" w:eastAsia="Arial" w:hAnsi="Arial"/>
          <w:sz w:val="21"/>
          <w:szCs w:val="21"/>
          <w:color w:val="auto"/>
        </w:rPr>
        <w:t>Nektar shall provide BioXcel with written notice of any such comments (and, where applicable, approvals or</w:t>
      </w:r>
      <w:r>
        <w:rPr>
          <w:rFonts w:ascii="Arial" w:cs="Arial" w:eastAsia="Arial" w:hAnsi="Arial"/>
          <w:sz w:val="21"/>
          <w:szCs w:val="21"/>
          <w:i w:val="1"/>
          <w:iCs w:val="1"/>
          <w:color w:val="auto"/>
        </w:rPr>
        <w:t xml:space="preserve"> </w:t>
      </w:r>
      <w:r>
        <w:rPr>
          <w:rFonts w:ascii="Arial" w:cs="Arial" w:eastAsia="Arial" w:hAnsi="Arial"/>
          <w:sz w:val="21"/>
          <w:szCs w:val="21"/>
          <w:color w:val="auto"/>
        </w:rPr>
        <w:t>rejections) within [***] ([***]) Business Days of the date on which BioXcel provides the applicable document to Nektar;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99" w:name="page100"/>
    <w:bookmarkEnd w:id="99"/>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ind w:firstLine="1944"/>
        <w:spacing w:after="0" w:line="251" w:lineRule="auto"/>
        <w:tabs>
          <w:tab w:leader="none" w:pos="2724"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providing comment and input on the management of each Combined Therapy Trial pursuant to the applicable Protocol;</w:t>
      </w:r>
    </w:p>
    <w:p>
      <w:pPr>
        <w:spacing w:after="0" w:line="173" w:lineRule="exact"/>
        <w:rPr>
          <w:rFonts w:ascii="Arial" w:cs="Arial" w:eastAsia="Arial" w:hAnsi="Arial"/>
          <w:sz w:val="22"/>
          <w:szCs w:val="22"/>
          <w:b w:val="1"/>
          <w:bCs w:val="1"/>
          <w:color w:val="auto"/>
        </w:rPr>
      </w:pPr>
    </w:p>
    <w:p>
      <w:pPr>
        <w:ind w:firstLine="1944"/>
        <w:spacing w:after="0" w:line="251" w:lineRule="auto"/>
        <w:tabs>
          <w:tab w:leader="none" w:pos="2797"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reviewing and, if applicable, suggesting alternatives to BioXcel’s proposed list of clinical trial sites and principal investigator(s) for each Combined Therapy Trial;</w:t>
      </w:r>
    </w:p>
    <w:p>
      <w:pPr>
        <w:spacing w:after="0" w:line="173" w:lineRule="exact"/>
        <w:rPr>
          <w:rFonts w:ascii="Arial" w:cs="Arial" w:eastAsia="Arial" w:hAnsi="Arial"/>
          <w:sz w:val="22"/>
          <w:szCs w:val="22"/>
          <w:b w:val="1"/>
          <w:bCs w:val="1"/>
          <w:color w:val="auto"/>
        </w:rPr>
      </w:pPr>
    </w:p>
    <w:p>
      <w:pPr>
        <w:jc w:val="both"/>
        <w:ind w:firstLine="1944"/>
        <w:spacing w:after="0"/>
        <w:tabs>
          <w:tab w:leader="none" w:pos="2587"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providing BioXcel with access to an investigator’s brochure for the Nektar Compound as determined by Nektar (and any updates thereto), as well as all relevant safety information for the Nektar Compound;</w:t>
      </w:r>
    </w:p>
    <w:p>
      <w:pPr>
        <w:spacing w:after="0" w:line="186" w:lineRule="exact"/>
        <w:rPr>
          <w:rFonts w:ascii="Arial" w:cs="Arial" w:eastAsia="Arial" w:hAnsi="Arial"/>
          <w:sz w:val="22"/>
          <w:szCs w:val="22"/>
          <w:b w:val="1"/>
          <w:bCs w:val="1"/>
          <w:color w:val="auto"/>
        </w:rPr>
      </w:pPr>
    </w:p>
    <w:p>
      <w:pPr>
        <w:jc w:val="both"/>
        <w:ind w:firstLine="1944"/>
        <w:spacing w:after="0"/>
        <w:tabs>
          <w:tab w:leader="none" w:pos="2822" w:val="left"/>
        </w:tabs>
        <w:numPr>
          <w:ilvl w:val="0"/>
          <w:numId w:val="80"/>
        </w:numPr>
        <w:rPr>
          <w:rFonts w:ascii="Arial" w:cs="Arial" w:eastAsia="Arial" w:hAnsi="Arial"/>
          <w:sz w:val="22"/>
          <w:szCs w:val="22"/>
          <w:b w:val="1"/>
          <w:bCs w:val="1"/>
          <w:color w:val="auto"/>
        </w:rPr>
      </w:pPr>
      <w:r>
        <w:rPr>
          <w:rFonts w:ascii="Arial" w:cs="Arial" w:eastAsia="Arial" w:hAnsi="Arial"/>
          <w:sz w:val="22"/>
          <w:szCs w:val="22"/>
          <w:color w:val="auto"/>
        </w:rPr>
        <w:t>providing and making available as necessary information and/or persons with knowledge concerning the Nektar Compound to support the Combined Therapy Trials, including any interactions with a Regulatory Authority; and</w:t>
      </w:r>
    </w:p>
    <w:p>
      <w:pPr>
        <w:spacing w:after="0" w:line="186" w:lineRule="exact"/>
        <w:rPr>
          <w:rFonts w:ascii="Arial" w:cs="Arial" w:eastAsia="Arial" w:hAnsi="Arial"/>
          <w:sz w:val="22"/>
          <w:szCs w:val="22"/>
          <w:b w:val="1"/>
          <w:bCs w:val="1"/>
          <w:color w:val="auto"/>
        </w:rPr>
      </w:pPr>
    </w:p>
    <w:p>
      <w:pPr>
        <w:ind w:left="2740" w:hanging="796"/>
        <w:spacing w:after="0"/>
        <w:tabs>
          <w:tab w:leader="none" w:pos="2740" w:val="left"/>
        </w:tabs>
        <w:numPr>
          <w:ilvl w:val="0"/>
          <w:numId w:val="80"/>
        </w:numPr>
        <w:rPr>
          <w:rFonts w:ascii="Arial" w:cs="Arial" w:eastAsia="Arial" w:hAnsi="Arial"/>
          <w:sz w:val="19"/>
          <w:szCs w:val="19"/>
          <w:b w:val="1"/>
          <w:bCs w:val="1"/>
          <w:color w:val="auto"/>
        </w:rPr>
      </w:pPr>
      <w:r>
        <w:rPr>
          <w:rFonts w:ascii="Arial" w:cs="Arial" w:eastAsia="Arial" w:hAnsi="Arial"/>
          <w:sz w:val="19"/>
          <w:szCs w:val="19"/>
          <w:color w:val="auto"/>
        </w:rPr>
        <w:t>such other responsibilities as may be agreed to by the Parties or determined by the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JDC.</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19"/>
          <w:szCs w:val="19"/>
          <w:b w:val="1"/>
          <w:bCs w:val="1"/>
          <w:color w:val="auto"/>
        </w:rPr>
        <w:t>Documents and Combined Therapy Trial Contracts</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34" w:lineRule="auto"/>
        <w:tabs>
          <w:tab w:leader="none" w:pos="1994" w:val="left"/>
        </w:tabs>
        <w:numPr>
          <w:ilvl w:val="0"/>
          <w:numId w:val="81"/>
        </w:numPr>
        <w:rPr>
          <w:rFonts w:ascii="Arial" w:cs="Arial" w:eastAsia="Arial" w:hAnsi="Arial"/>
          <w:sz w:val="22"/>
          <w:szCs w:val="22"/>
          <w:b w:val="1"/>
          <w:bCs w:val="1"/>
          <w:color w:val="auto"/>
        </w:rPr>
      </w:pPr>
      <w:r>
        <w:rPr>
          <w:rFonts w:ascii="Arial" w:cs="Arial" w:eastAsia="Arial" w:hAnsi="Arial"/>
          <w:sz w:val="22"/>
          <w:szCs w:val="22"/>
          <w:color w:val="auto"/>
        </w:rPr>
        <w:t>The Parties agree that BioXcel bears primary responsibility for conduct of each Combined Therapy Trial and the analysis of the Study Data under the applicable Statistical Analysis Plan. In consultation with Nektar, BioXcel shall draft the Protocols and Statistical Analysis Plans, and any amendments to each of the foregoing, and shall provide such documents to Nektar for review, comment, and if applicable, approval pursuant to Section 5.1(a)(vi) and Sections 2.4 and 2.6(d). Nektar shall have [***] ([***]) Business Days from the date on which BioXcel provides the applicable document to Nektar to provide any comments, and if applicable, approvals or rejections to BioXcel concerning the applicable draft Protocol or Statistical Analysis Plan, or any amendment to each of the foregoing.</w:t>
      </w:r>
    </w:p>
    <w:p>
      <w:pPr>
        <w:spacing w:after="0" w:line="187" w:lineRule="exact"/>
        <w:rPr>
          <w:rFonts w:ascii="Arial" w:cs="Arial" w:eastAsia="Arial" w:hAnsi="Arial"/>
          <w:sz w:val="22"/>
          <w:szCs w:val="22"/>
          <w:b w:val="1"/>
          <w:bCs w:val="1"/>
          <w:color w:val="auto"/>
        </w:rPr>
      </w:pPr>
    </w:p>
    <w:p>
      <w:pPr>
        <w:jc w:val="both"/>
        <w:ind w:firstLine="1296"/>
        <w:spacing w:after="0" w:line="247" w:lineRule="auto"/>
        <w:tabs>
          <w:tab w:leader="none" w:pos="1952" w:val="left"/>
        </w:tabs>
        <w:numPr>
          <w:ilvl w:val="0"/>
          <w:numId w:val="81"/>
        </w:numPr>
        <w:rPr>
          <w:rFonts w:ascii="Arial" w:cs="Arial" w:eastAsia="Arial" w:hAnsi="Arial"/>
          <w:sz w:val="21"/>
          <w:szCs w:val="21"/>
          <w:b w:val="1"/>
          <w:bCs w:val="1"/>
          <w:color w:val="auto"/>
        </w:rPr>
      </w:pPr>
      <w:r>
        <w:rPr>
          <w:rFonts w:ascii="Arial" w:cs="Arial" w:eastAsia="Arial" w:hAnsi="Arial"/>
          <w:sz w:val="21"/>
          <w:szCs w:val="21"/>
          <w:color w:val="auto"/>
        </w:rPr>
        <w:t>Subject to Sections 2.4 and 2.6(d), BioXcel shall be responsible for negotiating and entering into contracts for services relating to the Combined Therapy Trials, including selecting vendors, approving contract deliverables and managing contract performance, including site contracts, obtaining IRB approval for site informed consent forms, obtaining signed informed consents, monitoring plans, etc. BioXcel will be responsible for ensuring that any such contracts allow BioXcel to provide Nektar and BMS with access to and use of Study Data, Samples, and other information and documents as required pursuant to this Agreement (and in no event not less than the same access or use as is granted to BioXcel).</w:t>
      </w:r>
    </w:p>
    <w:p>
      <w:pPr>
        <w:spacing w:after="0" w:line="17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5.3 Other Clinical Trials. </w:t>
      </w:r>
      <w:r>
        <w:rPr>
          <w:rFonts w:ascii="Arial" w:cs="Arial" w:eastAsia="Arial" w:hAnsi="Arial"/>
          <w:sz w:val="22"/>
          <w:szCs w:val="22"/>
          <w:color w:val="auto"/>
        </w:rPr>
        <w:t>Except for the Combined Therapy Trials, each clinical trial for the Nektar</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 and the CPI Compound and the BioXcel Compound, alone or in combination with other pharmaceutical agents, is independently conducted and shall not be subject to this Agreement (but without limiting each Party’s obligation to share relevant safety information as provided in Section 2.1(c), Section 2.1(d) and Section 2.2). The Nektar Compound provided to BioXcel under this Agreement shall not be used for such other clinical trials. Nothing in this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0" w:name="page101"/>
    <w:bookmarkEnd w:id="100"/>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Agreement shall preclude either Party from conducting any such other clinical trials as it may determine in its discretion, so long as it does not use or rely on the Confidential Information of the other Party in doing so.</w:t>
      </w:r>
    </w:p>
    <w:p>
      <w:pPr>
        <w:spacing w:after="0" w:line="14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5.4 Additional Studies. </w:t>
      </w:r>
      <w:r>
        <w:rPr>
          <w:rFonts w:ascii="Arial" w:cs="Arial" w:eastAsia="Arial" w:hAnsi="Arial"/>
          <w:sz w:val="19"/>
          <w:szCs w:val="19"/>
          <w:color w:val="auto"/>
        </w:rPr>
        <w:t>After completion of the Combined Therapy Trials, the Parties agree to discuss</w:t>
      </w:r>
      <w:r>
        <w:rPr>
          <w:rFonts w:ascii="Arial" w:cs="Arial" w:eastAsia="Arial" w:hAnsi="Arial"/>
          <w:sz w:val="19"/>
          <w:szCs w:val="19"/>
          <w:b w:val="1"/>
          <w:bCs w:val="1"/>
          <w:color w:val="auto"/>
        </w:rPr>
        <w:t xml:space="preserve"> </w:t>
      </w:r>
      <w:r>
        <w:rPr>
          <w:rFonts w:ascii="Arial" w:cs="Arial" w:eastAsia="Arial" w:hAnsi="Arial"/>
          <w:sz w:val="19"/>
          <w:szCs w:val="19"/>
          <w:color w:val="auto"/>
        </w:rPr>
        <w:t>in good faith additional clinical trials (other than clinical trials contemplated by Section 2.1(a)) of the Combined Therapy. If the Parties jointly agree to conduct any such further clinical trials, such further clinical trials will be conducted in accordance with a separate agreement between the Parties. For clarity, no Party shall be obligated to collaborate with the other Party or agree on terms with the other Party with respect to such additional clinical trials.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6.1 Collaboration Inventions. </w:t>
      </w:r>
      <w:r>
        <w:rPr>
          <w:rFonts w:ascii="Arial" w:cs="Arial" w:eastAsia="Arial" w:hAnsi="Arial"/>
          <w:sz w:val="19"/>
          <w:szCs w:val="19"/>
          <w:color w:val="auto"/>
        </w:rPr>
        <w:t>Prior to the Effective Date of this Agreement, Nektar and BioXcel</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a certain Collaborative Research Agreement, dated August 27, 2017 (“</w:t>
      </w:r>
      <w:r>
        <w:rPr>
          <w:rFonts w:ascii="Arial" w:cs="Arial" w:eastAsia="Arial" w:hAnsi="Arial"/>
          <w:sz w:val="19"/>
          <w:szCs w:val="19"/>
          <w:b w:val="1"/>
          <w:bCs w:val="1"/>
          <w:i w:val="1"/>
          <w:iCs w:val="1"/>
          <w:color w:val="auto"/>
        </w:rPr>
        <w:t>Research Agreement</w:t>
      </w:r>
      <w:r>
        <w:rPr>
          <w:rFonts w:ascii="Arial" w:cs="Arial" w:eastAsia="Arial" w:hAnsi="Arial"/>
          <w:sz w:val="19"/>
          <w:szCs w:val="19"/>
          <w:color w:val="auto"/>
        </w:rPr>
        <w:t>”). To the extent the ownership of intellectual property (including the rights of filing, prosecution, enforcement, maintenance and defense of any applicable Patent Rights) is related to the use of both the BioXcel Compound and the Nektar Compound, to the use of the BioXcel Compound, the Nektar Compound and the CPI Compound, or to a combination comprising the BioXcel Compound and the Nektar Compound, or a combination comprising the BioXcel Compound, the Nektar Compound and the CPI Compound, the Research Agreement is hereby superseded and replaced by the terms of this Agreement. All rights to Collaboration Inventions shall be allocated as follows:</w:t>
      </w:r>
    </w:p>
    <w:p>
      <w:pPr>
        <w:spacing w:after="0" w:line="151" w:lineRule="exact"/>
        <w:rPr>
          <w:sz w:val="20"/>
          <w:szCs w:val="20"/>
          <w:color w:val="auto"/>
        </w:rPr>
      </w:pPr>
    </w:p>
    <w:p>
      <w:pPr>
        <w:jc w:val="both"/>
        <w:ind w:firstLine="1296"/>
        <w:spacing w:after="0" w:line="274" w:lineRule="auto"/>
        <w:tabs>
          <w:tab w:leader="none" w:pos="1938"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BioXcel Ownership. </w:t>
      </w:r>
      <w:r>
        <w:rPr>
          <w:rFonts w:ascii="Arial" w:cs="Arial" w:eastAsia="Arial" w:hAnsi="Arial"/>
          <w:sz w:val="19"/>
          <w:szCs w:val="19"/>
          <w:color w:val="auto"/>
        </w:rPr>
        <w:t>Subject to the terms of this Agreement, all BioXcel Study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owned solely by BioXcel, and BioXcel will have the full right to exploit such BioXcel Study Inventions without the consent of, or any obligation to account to, Nektar. Nektar shall assign and hereby assigns (and shall cause its Affiliates and contractors to assign) all right, title and interest in any BioXcel Study Inventions to BioXcel. Any assignments necessary to accomplish the foregoing are hereby made, and Nektar shall execute such further documents and provide other assistance as may be reasonably requested by BioXcel to perfect BioXcel’s rights in such BioXcel Study Inventions, all at BioXcel’s expense. BioXcel shall have the sole right but not the obligation to prepare, file, prosecute (including any proceedings relating to reissues, reexaminations, protests, interferences, oppositions, post-grant reviews or similar proceedings and requests for patent extensions) and maintain any BioXcel Study Patent Rights at its own expense.</w:t>
      </w:r>
    </w:p>
    <w:p>
      <w:pPr>
        <w:spacing w:after="0" w:line="152" w:lineRule="exact"/>
        <w:rPr>
          <w:rFonts w:ascii="Arial" w:cs="Arial" w:eastAsia="Arial" w:hAnsi="Arial"/>
          <w:sz w:val="19"/>
          <w:szCs w:val="19"/>
          <w:b w:val="1"/>
          <w:bCs w:val="1"/>
          <w:color w:val="auto"/>
        </w:rPr>
      </w:pPr>
    </w:p>
    <w:p>
      <w:pPr>
        <w:jc w:val="both"/>
        <w:ind w:firstLine="1296"/>
        <w:spacing w:after="0" w:line="284" w:lineRule="auto"/>
        <w:tabs>
          <w:tab w:leader="none" w:pos="200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Nektar Ownership. </w:t>
      </w:r>
      <w:r>
        <w:rPr>
          <w:rFonts w:ascii="Arial" w:cs="Arial" w:eastAsia="Arial" w:hAnsi="Arial"/>
          <w:sz w:val="19"/>
          <w:szCs w:val="19"/>
          <w:color w:val="auto"/>
        </w:rPr>
        <w:t>Subject to the terms of this Agreement, all Nektar Study Inventions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owned solely by Nektar, and Nektar will have the full right to exploit such Nektar Study Inventions without the consent of, or any obligation to account to, BioXcel. BioXcel shall assign and hereby assigns (and shall cause its Affiliates and contractors to assign) all right, title and interest in any Nektar Study Inventions to Nektar. Any assignments necessary to accomplish the foregoing are hereby made, and BioXcel shall execute such further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1" w:name="page102"/>
    <w:bookmarkEnd w:id="101"/>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documents and provide other assistance as may be reasonably requested by Nektar to perfect Nektar’s rights in such Nektar Study Inventions, all at Nektar’s expense. As between Nektar and BioXcel, Nektar shall have the sole right but not the obligation to prepare, file, prosecute (including any proceedings relating to reissues, reexaminations, protests, interferences, oppositions, post-grant reviews or similar proceedings and requests for patent extensions) and maintain any Nektar Study Patent Rights at its own expense.</w:t>
      </w:r>
    </w:p>
    <w:p>
      <w:pPr>
        <w:spacing w:after="0" w:line="173" w:lineRule="exact"/>
        <w:rPr>
          <w:sz w:val="20"/>
          <w:szCs w:val="20"/>
          <w:color w:val="auto"/>
        </w:rPr>
      </w:pPr>
    </w:p>
    <w:p>
      <w:pPr>
        <w:jc w:val="both"/>
        <w:ind w:firstLine="1296"/>
        <w:spacing w:after="0" w:line="269" w:lineRule="auto"/>
        <w:tabs>
          <w:tab w:leader="none" w:pos="2075"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Combined Therapy Trial Inventions. </w:t>
      </w:r>
      <w:r>
        <w:rPr>
          <w:rFonts w:ascii="Arial" w:cs="Arial" w:eastAsia="Arial" w:hAnsi="Arial"/>
          <w:sz w:val="19"/>
          <w:szCs w:val="19"/>
          <w:color w:val="auto"/>
        </w:rPr>
        <w:t>All Combined Therapy Trial Inventions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jointly owned by the Parties, and either Party shall have the right to freely exploit the Combined Therapy Trial Inventions and Combined Therapy Patent Rights, both within and outside the scope of this Agreement, without accounting or any other obligation to the other Party (except as expressly set forth in this Section 6.1(c) and Section 6.3(d) with regard to the filing, prosecution, maintenance and enforcement of Combined Therapy Patent Rights) and each Party may use, exploit and grant licenses (with right to sublicense) to Third Parties under its interest in such Combined Therapy Trial Inventions and Combined Therapy Patent Rights. Nektar, using outside counsel acceptable to both Parties, shall be responsible for preparing, prosecuting, obtaining and maintaining Patent applications and Patents within the Combined Therapy Patent Rights. Nektar shall keep BioXcel advised as to material developments and all steps to be taken with respect to any such Patent applications and Patents and shall furnish BioXcel with copies of applications for such Patents, amendments thereto and other related correspondence to and from Patent offices, and permit BioXcel a reasonable opportunity to review and offer comments. Nektar shall implement such comments of BioXcel with respect to all such Patent applications and amendments thereto, so long as such comments are reasonable and would not cause Nektar to be in breach of the SCA if implemented. BioXcel shall reasonably assist and cooperate with Nektar in preparing, prosecuting, obtaining and maintaining Patent applications and Patents within the Combined Therapy Patent Rights. Notwithstanding the foregoing, Nektar shall not take any position in a submission to a Patent office that interprets the scope of a Patent of BioXcel related to the BioXcel Compound without the prior written consent of BioXcel. Nektar shall have the right to disclose to BMS, subject to the confidentiality provisions of the SCA governing disclosures of Nektar confidential information to BMS, applications for Patents, amendments thereto and other related correspondence to and from Patent offices contemplated by this Section to the extent necessary to comply with Nektar’s obligations under the SCA,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Nektar shall not disclose any confidential information of the CPI Compound supplier in connection therewith (to be clear, nothing in the foregoing proviso shall prohibit Nektar from disclosing the Combined Therapy Study Data to BMS on the terms provided herein);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Nektar remains liable to BioXcel for any breach by BMS of such confidentiality provisions. Nektar shall be reimbursed for any Third Party costs and expenses incurred in preparing, filing, and prosecuting Combined Therapy Patent Rights and the subsequent maintenance of Combined Therapy Patent Rights by BioXcel such that BioXcel shall be responsible for [***] percent ([***]%) of such costs and expenses and Nektar shall be responsible for [***] percent ([***]%) of such costs and expenses. Nektar will report all such costs and expenses to BioXcel in accordance with Sections 7.1 and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2" w:name="page103"/>
    <w:bookmarkEnd w:id="10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firstLine="1944"/>
        <w:spacing w:after="0" w:line="271" w:lineRule="auto"/>
        <w:tabs>
          <w:tab w:leader="none" w:pos="2689" w:val="left"/>
        </w:tabs>
        <w:numPr>
          <w:ilvl w:val="0"/>
          <w:numId w:val="84"/>
        </w:numPr>
        <w:rPr>
          <w:rFonts w:ascii="Arial" w:cs="Arial" w:eastAsia="Arial" w:hAnsi="Arial"/>
          <w:sz w:val="19"/>
          <w:szCs w:val="19"/>
          <w:b w:val="1"/>
          <w:bCs w:val="1"/>
          <w:color w:val="auto"/>
        </w:rPr>
      </w:pPr>
      <w:r>
        <w:rPr>
          <w:rFonts w:ascii="Arial" w:cs="Arial" w:eastAsia="Arial" w:hAnsi="Arial"/>
          <w:sz w:val="19"/>
          <w:szCs w:val="19"/>
          <w:u w:val="single" w:color="auto"/>
          <w:color w:val="auto"/>
        </w:rPr>
        <w:t>Abandonment of Patent or Patent application.</w:t>
      </w:r>
      <w:r>
        <w:rPr>
          <w:rFonts w:ascii="Arial" w:cs="Arial" w:eastAsia="Arial" w:hAnsi="Arial"/>
          <w:sz w:val="19"/>
          <w:szCs w:val="19"/>
          <w:color w:val="auto"/>
        </w:rPr>
        <w:t xml:space="preserve"> If Nektar determines either: (a) not to continue the preparation, prosecution or maintenance of a Patent application or Patent within the Combined Therapy Patent Rights; or (b) not to file any new Patent application within the Combined Therapy Patent Rights as requested to be filed by BioXcel, in each case, other than to optimize overall Patent protection of claimed inventions, Nektar shall provide BioXcel with notice of this decision within [***] ([***]) days of any decision not to file a new Patent application, or at least [***] ([***]) days prior to any pending lapse or abandonment of an existing Patent application or Patent. In such event, Nektar shall provide BioXcel with an opportunity to assume responsibility for all costs associated with the filing or further preparation, prosecution and maintenance of such Patent application or any Patent issuing thereon (such filing to occur prior to the issuance of the Patent to which the application claims priority or expiration of the applicable filing deadline, as set forth above). If BioXcel assumes such responsibility for such preparation, filing, prosecution and maintenance costs, BioXcel shall have the right to transfer the responsibility for such preparation, filing, prosecution and maintenance of such Patent applications and/or Patents to patent counsel selected by it and reasonably acceptable to Nektar. In such case, Section 6.1(c) shall apply to such Patent applications and Patents </w:t>
      </w:r>
      <w:r>
        <w:rPr>
          <w:rFonts w:ascii="Arial" w:cs="Arial" w:eastAsia="Arial" w:hAnsi="Arial"/>
          <w:sz w:val="19"/>
          <w:szCs w:val="19"/>
          <w:i w:val="1"/>
          <w:iCs w:val="1"/>
          <w:color w:val="auto"/>
        </w:rPr>
        <w:t>mutatis mutandis</w:t>
      </w:r>
      <w:r>
        <w:rPr>
          <w:rFonts w:ascii="Arial" w:cs="Arial" w:eastAsia="Arial" w:hAnsi="Arial"/>
          <w:sz w:val="19"/>
          <w:szCs w:val="19"/>
          <w:color w:val="auto"/>
        </w:rPr>
        <w:t>. Such Patent applications and Patents shall otherwise continue to be subject to all of the terms and conditions of this Agreement in the same manner and to the same extent as the other Patent applications and Patents within the Combined Therapy Patent Rights.</w:t>
      </w:r>
    </w:p>
    <w:p>
      <w:pPr>
        <w:spacing w:after="0" w:line="158" w:lineRule="exact"/>
        <w:rPr>
          <w:rFonts w:ascii="Arial" w:cs="Arial" w:eastAsia="Arial" w:hAnsi="Arial"/>
          <w:sz w:val="19"/>
          <w:szCs w:val="19"/>
          <w:b w:val="1"/>
          <w:bCs w:val="1"/>
          <w:color w:val="auto"/>
        </w:rPr>
      </w:pPr>
    </w:p>
    <w:p>
      <w:pPr>
        <w:jc w:val="both"/>
        <w:ind w:firstLine="1944"/>
        <w:spacing w:after="0" w:line="270" w:lineRule="auto"/>
        <w:tabs>
          <w:tab w:leader="none" w:pos="2749" w:val="left"/>
        </w:tabs>
        <w:numPr>
          <w:ilvl w:val="0"/>
          <w:numId w:val="84"/>
        </w:numPr>
        <w:rPr>
          <w:rFonts w:ascii="Arial" w:cs="Arial" w:eastAsia="Arial" w:hAnsi="Arial"/>
          <w:sz w:val="19"/>
          <w:szCs w:val="19"/>
          <w:b w:val="1"/>
          <w:bCs w:val="1"/>
          <w:color w:val="auto"/>
        </w:rPr>
      </w:pPr>
      <w:r>
        <w:rPr>
          <w:rFonts w:ascii="Arial" w:cs="Arial" w:eastAsia="Arial" w:hAnsi="Arial"/>
          <w:sz w:val="19"/>
          <w:szCs w:val="19"/>
          <w:u w:val="single" w:color="auto"/>
          <w:color w:val="auto"/>
        </w:rPr>
        <w:t>Failure to Reimburse</w:t>
      </w:r>
      <w:r>
        <w:rPr>
          <w:rFonts w:ascii="Arial" w:cs="Arial" w:eastAsia="Arial" w:hAnsi="Arial"/>
          <w:sz w:val="19"/>
          <w:szCs w:val="19"/>
          <w:color w:val="auto"/>
        </w:rPr>
        <w:t xml:space="preserve">. If a Party elects not to reimburse the other Party for [***] percent ([***]%) of the costs and expenses of preparation, filing, prosecution and maintenance of a Patent application or Patent within the Combined Therapy Patent Rights in a given country, the non-reimbursed Party shall have the right, but not an obligation, to prepare, file, prosecute or maintain such Patent application or Patent in such country in its own name and at its own expense, with the prior written consent of the other Party (which shall not be unreasonably withheld) and the other Party shall promptly assign, without additional consideration, all of its rights, title and interest to the Patent application or Patent in said country and any inventions covered by such Patent application or Patent to the non-reimbursed Party if the non-reimbursed Party wishes to prepare, file, prosecute or maintain said Patent application or Patent. After giving effect to such assignment, such assigned invention and any corresponding Combined Therapy Patent Rights thereto shall be the treated as a BioXcel Independent Patent Rights or Nektar Independent Patent Rights, as applicable. The Party who does not wish to prepare, file, prosecute or maintain a Patent application or Patent within the Combined Therapy Patent in any country shall assist in the timely provision of all documents required under national provisions to register said assignment of rights with the corresponding national authorities at the sole expense of the Party who wished to prepare, file, prosecute or maintain such Patent application or Patent in that given country. Nektar shall have the right to disclose to BMS, subject to the confidentiality provisions of the SCA governing disclosures of Nektar confidential information to BMS, applications for Patents, amendments thereto, assignment-related documents and other related correspondence to and from Patent offices contemplated by this subsection (ii) to the extent necessary to comply with Nektar’s obligations under the SCA,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Nektar shall not disclose any confidential information of the CPI Compound supplier in connection therewith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3" w:name="page104"/>
    <w:bookmarkEnd w:id="103"/>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 xml:space="preserve">be clear, nothing in the foregoing proviso shall prohibit Nektar from disclosing the Combined Therapy Study Data to BMS on the terms provided herein); and </w:t>
      </w:r>
      <w:r>
        <w:rPr>
          <w:rFonts w:ascii="Arial" w:cs="Arial" w:eastAsia="Arial" w:hAnsi="Arial"/>
          <w:sz w:val="22"/>
          <w:szCs w:val="22"/>
          <w:i w:val="1"/>
          <w:iCs w:val="1"/>
          <w:color w:val="auto"/>
        </w:rPr>
        <w:t>provided further,</w:t>
      </w:r>
      <w:r>
        <w:rPr>
          <w:rFonts w:ascii="Arial" w:cs="Arial" w:eastAsia="Arial" w:hAnsi="Arial"/>
          <w:sz w:val="22"/>
          <w:szCs w:val="22"/>
          <w:color w:val="auto"/>
        </w:rPr>
        <w:t xml:space="preserve"> that Nektar remains liable to BioXcel for any breach by BMS of such confidentiality provisions.</w:t>
      </w:r>
    </w:p>
    <w:p>
      <w:pPr>
        <w:spacing w:after="0" w:line="180" w:lineRule="exact"/>
        <w:rPr>
          <w:sz w:val="20"/>
          <w:szCs w:val="20"/>
          <w:color w:val="auto"/>
        </w:rPr>
      </w:pPr>
    </w:p>
    <w:p>
      <w:pPr>
        <w:jc w:val="both"/>
        <w:ind w:firstLine="1296"/>
        <w:spacing w:after="0" w:line="272" w:lineRule="auto"/>
        <w:tabs>
          <w:tab w:leader="none" w:pos="2094"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Separation of Patent Rights. </w:t>
      </w:r>
      <w:r>
        <w:rPr>
          <w:rFonts w:ascii="Arial" w:cs="Arial" w:eastAsia="Arial" w:hAnsi="Arial"/>
          <w:sz w:val="19"/>
          <w:szCs w:val="19"/>
          <w:color w:val="auto"/>
        </w:rPr>
        <w:t>In order to more efficiently enable the prosecution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maintenance of the Nektar Study Patent Rights, BioXcel Study Patent Rights and Combined Therapy Patent Rights relating to Collaboration Inventions as described above, the Parties will use good faith efforts to separate Nektar Study Patent Rights, BioXcel Study Patent Rights, Combined Therapy Patent Rights, Nektar Independent Patent Rights and BioXcel Independent Patent Rights into separate patent filings to the extent possible and without adversely impacting such prosecution and maintenance. Nektar shall have the right to disclose to BMS, subject to the confidentiality provisions of the SCA governing disclosures of Nektar confidential information to BMS, applications for Patents, amendments thereto and other related correspondence to and from Patent offices contemplated by this subsection (d) to the extent necessary to comply with Nektar’s obligations under the SCA,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Nektar shall not disclose any confidential information of the CPI Compound supplier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therewith (to be clear, nothing in the foregoing proviso shall prohibit Nektar from disclosing the Combined Therapy Study Data to BMS on the terms provided herein);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Nektar remains liable to BioXcel for any breach by BMS of such confidentiality provisions.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6.2 Disclosure and Assignment of Collaboration Inventions. </w:t>
      </w:r>
      <w:r>
        <w:rPr>
          <w:rFonts w:ascii="Arial" w:cs="Arial" w:eastAsia="Arial" w:hAnsi="Arial"/>
          <w:sz w:val="21"/>
          <w:szCs w:val="21"/>
          <w:color w:val="auto"/>
        </w:rPr>
        <w:t>Each Party shall disclose promptly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other Party in writing and on a confidential basis all Collaboration Inventions, prior to any public disclosure or filing of Patent applications and allowing sufficient time for comment by the other Party. Nektar shall have the right to disclose to BMS, subject to the confidentiality provisions of the SCA governing disclosures of Nektar confidential information to BMS, all Collaboration Inventions, prior to any public disclosure or filing of patent applications, to the extent necessary to comply with Nektar’s obligations under the SCA,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Nektar shall not disclose any confidential information of the CPI Compound supplier in connection therewith (to be clear, nothing in the foregoing proviso shall prohibit Nektar from disclosing the Combined Therapy Study Data to BMS on the terms provided herein);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Nektar remains liable to BioXcel for any breach by BMS of such confidentiality provisions. In addition, each Party shall, and does hereby, assign, and shall cause its Affiliates and contractors to so assign, to the other Party, without additional compensation, such right, title and interest in and to any Collaboration Inventions as well as any intellectual property rights with respect thereto, as is necessary to fully effect, as applicable, the sole ownership provided for in Sections 6.1(a) and 6.1(b) and the joint ownership provided for in Section 6.1(c).</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9"/>
          <w:szCs w:val="19"/>
          <w:b w:val="1"/>
          <w:bCs w:val="1"/>
          <w:color w:val="auto"/>
        </w:rPr>
        <w:t>Infringement of Patent Rights by Third Parties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39" w:lineRule="auto"/>
        <w:tabs>
          <w:tab w:leader="none" w:pos="2098"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Each Party shall promptly notify the other Party in writing of any alleged or</w:t>
      </w:r>
      <w:r>
        <w:rPr>
          <w:rFonts w:ascii="Arial" w:cs="Arial" w:eastAsia="Arial" w:hAnsi="Arial"/>
          <w:sz w:val="22"/>
          <w:szCs w:val="22"/>
          <w:b w:val="1"/>
          <w:bCs w:val="1"/>
          <w:color w:val="auto"/>
        </w:rPr>
        <w:t xml:space="preserve"> </w:t>
      </w:r>
      <w:r>
        <w:rPr>
          <w:rFonts w:ascii="Arial" w:cs="Arial" w:eastAsia="Arial" w:hAnsi="Arial"/>
          <w:sz w:val="22"/>
          <w:szCs w:val="22"/>
          <w:color w:val="auto"/>
        </w:rPr>
        <w:t>threatened (in writing) infringement, or misappropriation by a Third Party, of Combined Therapy Patent Rights, of which its in-house patent counsel becomes aware (such infringement, “</w:t>
      </w:r>
      <w:r>
        <w:rPr>
          <w:rFonts w:ascii="Arial" w:cs="Arial" w:eastAsia="Arial" w:hAnsi="Arial"/>
          <w:sz w:val="22"/>
          <w:szCs w:val="22"/>
          <w:b w:val="1"/>
          <w:bCs w:val="1"/>
          <w:i w:val="1"/>
          <w:iCs w:val="1"/>
          <w:color w:val="auto"/>
        </w:rPr>
        <w:t>Infringement,</w:t>
      </w:r>
      <w:r>
        <w:rPr>
          <w:rFonts w:ascii="Arial" w:cs="Arial" w:eastAsia="Arial" w:hAnsi="Arial"/>
          <w:sz w:val="22"/>
          <w:szCs w:val="22"/>
          <w:color w:val="auto"/>
        </w:rPr>
        <w:t>” and “</w:t>
      </w:r>
      <w:r>
        <w:rPr>
          <w:rFonts w:ascii="Arial" w:cs="Arial" w:eastAsia="Arial" w:hAnsi="Arial"/>
          <w:sz w:val="22"/>
          <w:szCs w:val="22"/>
          <w:b w:val="1"/>
          <w:bCs w:val="1"/>
          <w:i w:val="1"/>
          <w:iCs w:val="1"/>
          <w:color w:val="auto"/>
        </w:rPr>
        <w:t>Infringe</w:t>
      </w:r>
      <w:r>
        <w:rPr>
          <w:rFonts w:ascii="Arial" w:cs="Arial" w:eastAsia="Arial" w:hAnsi="Arial"/>
          <w:sz w:val="22"/>
          <w:szCs w:val="22"/>
          <w:color w:val="auto"/>
        </w:rPr>
        <w:t>” shall be interpreted accordingly).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4" w:name="page105"/>
    <w:bookmarkEnd w:id="104"/>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1296"/>
        <w:spacing w:after="0" w:line="236" w:lineRule="auto"/>
        <w:tabs>
          <w:tab w:leader="none" w:pos="2047"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Infringement of BioXcel Study Patent Rights. </w:t>
      </w:r>
      <w:r>
        <w:rPr>
          <w:rFonts w:ascii="Arial" w:cs="Arial" w:eastAsia="Arial" w:hAnsi="Arial"/>
          <w:sz w:val="22"/>
          <w:szCs w:val="22"/>
          <w:color w:val="auto"/>
        </w:rPr>
        <w:t>For all Infringement of BioXcel Study</w:t>
      </w:r>
      <w:r>
        <w:rPr>
          <w:rFonts w:ascii="Arial" w:cs="Arial" w:eastAsia="Arial" w:hAnsi="Arial"/>
          <w:sz w:val="22"/>
          <w:szCs w:val="22"/>
          <w:b w:val="1"/>
          <w:bCs w:val="1"/>
          <w:color w:val="auto"/>
        </w:rPr>
        <w:t xml:space="preserve"> </w:t>
      </w:r>
      <w:r>
        <w:rPr>
          <w:rFonts w:ascii="Arial" w:cs="Arial" w:eastAsia="Arial" w:hAnsi="Arial"/>
          <w:sz w:val="22"/>
          <w:szCs w:val="22"/>
          <w:color w:val="auto"/>
        </w:rPr>
        <w:t>Patent Rights or BioXcel Independent Patent Rights anywhere in the world, BioXcel shall have the exclusive right to prosecute such Infringement as it may determine in its sole and absolute discretion, and BioXcel shall bear all related expenses and retain all related recoveries. Nektar shall reasonably cooperate with BioXcel or its designee (to the extent Nektar has relevant information arising out of this Agreement), at BioXcel’s request and expense, in any such action.</w:t>
      </w:r>
    </w:p>
    <w:p>
      <w:pPr>
        <w:spacing w:after="0" w:line="182" w:lineRule="exact"/>
        <w:rPr>
          <w:rFonts w:ascii="Arial" w:cs="Arial" w:eastAsia="Arial" w:hAnsi="Arial"/>
          <w:sz w:val="22"/>
          <w:szCs w:val="22"/>
          <w:b w:val="1"/>
          <w:bCs w:val="1"/>
          <w:color w:val="auto"/>
        </w:rPr>
      </w:pPr>
    </w:p>
    <w:p>
      <w:pPr>
        <w:jc w:val="both"/>
        <w:ind w:firstLine="1296"/>
        <w:spacing w:after="0" w:line="236" w:lineRule="auto"/>
        <w:tabs>
          <w:tab w:leader="none" w:pos="1946"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Infringement of Nektar Study Patent Rights. </w:t>
      </w:r>
      <w:r>
        <w:rPr>
          <w:rFonts w:ascii="Arial" w:cs="Arial" w:eastAsia="Arial" w:hAnsi="Arial"/>
          <w:sz w:val="22"/>
          <w:szCs w:val="22"/>
          <w:color w:val="auto"/>
        </w:rPr>
        <w:t>For all Infringement of Nektar Study Patent</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or Nektar Independent Patent Rights anywhere in the world, Nektar shall have the exclusive right to prosecute such Infringement as it may determine in its sole and absolute discretion, and Nektar shall bear all related expenses and retain all related recoveries. BioXcel shall reasonably cooperate with Nektar or its designee (to the extent BioXcel has relevant information arising out of this Agreement), at Nektar’s request and expense, in any such action.</w:t>
      </w:r>
    </w:p>
    <w:p>
      <w:pPr>
        <w:spacing w:after="0" w:line="182" w:lineRule="exact"/>
        <w:rPr>
          <w:rFonts w:ascii="Arial" w:cs="Arial" w:eastAsia="Arial" w:hAnsi="Arial"/>
          <w:sz w:val="22"/>
          <w:szCs w:val="22"/>
          <w:b w:val="1"/>
          <w:bCs w:val="1"/>
          <w:color w:val="auto"/>
        </w:rPr>
      </w:pPr>
    </w:p>
    <w:p>
      <w:pPr>
        <w:ind w:left="1880" w:hanging="584"/>
        <w:spacing w:after="0"/>
        <w:tabs>
          <w:tab w:leader="none" w:pos="188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 of Combined Therapy Patent Rights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1944"/>
        <w:spacing w:after="0" w:line="238" w:lineRule="auto"/>
        <w:tabs>
          <w:tab w:leader="none" w:pos="2756" w:val="left"/>
        </w:tabs>
        <w:numPr>
          <w:ilvl w:val="1"/>
          <w:numId w:val="87"/>
        </w:numPr>
        <w:rPr>
          <w:rFonts w:ascii="Arial" w:cs="Arial" w:eastAsia="Arial" w:hAnsi="Arial"/>
          <w:sz w:val="22"/>
          <w:szCs w:val="22"/>
          <w:b w:val="1"/>
          <w:bCs w:val="1"/>
          <w:color w:val="auto"/>
        </w:rPr>
      </w:pPr>
      <w:r>
        <w:rPr>
          <w:rFonts w:ascii="Arial" w:cs="Arial" w:eastAsia="Arial" w:hAnsi="Arial"/>
          <w:sz w:val="22"/>
          <w:szCs w:val="22"/>
          <w:color w:val="auto"/>
        </w:rPr>
        <w:t>With respect to Infringement of Combined Therapy Patent Rights, the Parties shall mutually agree as to whether to bring an enforcement action to seek the removal or prevention of such Infringement and damages therefor and, if so, which Party shall bring such action, with any costs and expenses relating thereto to be allocated in accordance with Section 6.3(d)(ii).</w:t>
      </w:r>
    </w:p>
    <w:p>
      <w:pPr>
        <w:spacing w:after="0" w:line="185" w:lineRule="exact"/>
        <w:rPr>
          <w:rFonts w:ascii="Arial" w:cs="Arial" w:eastAsia="Arial" w:hAnsi="Arial"/>
          <w:sz w:val="22"/>
          <w:szCs w:val="22"/>
          <w:b w:val="1"/>
          <w:bCs w:val="1"/>
          <w:color w:val="auto"/>
        </w:rPr>
      </w:pPr>
    </w:p>
    <w:p>
      <w:pPr>
        <w:jc w:val="both"/>
        <w:ind w:firstLine="1944"/>
        <w:spacing w:after="0" w:line="272" w:lineRule="auto"/>
        <w:tabs>
          <w:tab w:leader="none" w:pos="2614"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Regardless of which Party brings an enforcement action pursuant to Section 6.3(d)(i), the other Party hereby agrees to cooperate reasonably in any such action, including, if required, by bringing a legal action or furnishing a power of attorney. If the Parties mutually agree to bring an enforcement action, Nektar shall be responsible for [***] percent ([***]%), and BioXcel shall be responsible for [***] percent ([***]%), of the reasonable and verifiable costs and expenses incurred in connection with any such action. If either Party recovers monetary damages from any Third Party in an action approved by the Parties and brought under this Section 6.3(d) (ii), such recovery shall be allocated first to the reimbursement of any actual, unreimbursed costs and expenses incurred by the Parties in such litigation (including, for this purpose, a reasonable allocation of expenses of internal counsel), then pro rata in accordance with the aggregate amounts spent by both Parties, and any remaining amounts shall be split [***] percent ([***]%) to BioXcel and [***] percent ([***]%) to Nektar, unless the Parties agree in writing to a different allocation. In connection with any proceeding under this Section 6.3(d), neither Party shall enter into any settlement without the prior written consent of the other Party.</w:t>
      </w:r>
    </w:p>
    <w:p>
      <w:pPr>
        <w:spacing w:after="0" w:line="156"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Infringement of Third Party Rights</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43" w:lineRule="auto"/>
        <w:tabs>
          <w:tab w:leader="none" w:pos="1999"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If the activities relating to the Combined Therapy Trials become the subject of a</w:t>
      </w:r>
      <w:r>
        <w:rPr>
          <w:rFonts w:ascii="Arial" w:cs="Arial" w:eastAsia="Arial" w:hAnsi="Arial"/>
          <w:sz w:val="22"/>
          <w:szCs w:val="22"/>
          <w:b w:val="1"/>
          <w:bCs w:val="1"/>
          <w:color w:val="auto"/>
        </w:rPr>
        <w:t xml:space="preserve"> </w:t>
      </w:r>
      <w:r>
        <w:rPr>
          <w:rFonts w:ascii="Arial" w:cs="Arial" w:eastAsia="Arial" w:hAnsi="Arial"/>
          <w:sz w:val="22"/>
          <w:szCs w:val="22"/>
          <w:color w:val="auto"/>
        </w:rPr>
        <w:t>claim of infringement of a patent, copyright or other proprietary right by a Third Party anywhere in the world, the Party first having notice of the claim shall promptly notify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5" w:name="page106"/>
    <w:bookmarkEnd w:id="105"/>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other Party and, without regard to which Party is charged with said infringement and the venue of such claim, the Parties shall promptly confer to discuss the claim.</w:t>
      </w:r>
    </w:p>
    <w:p>
      <w:pPr>
        <w:spacing w:after="0" w:line="167" w:lineRule="exact"/>
        <w:rPr>
          <w:sz w:val="20"/>
          <w:szCs w:val="20"/>
          <w:color w:val="auto"/>
        </w:rPr>
      </w:pPr>
    </w:p>
    <w:p>
      <w:pPr>
        <w:jc w:val="both"/>
        <w:ind w:left="1" w:firstLine="1296"/>
        <w:spacing w:after="0" w:line="268" w:lineRule="auto"/>
        <w:tabs>
          <w:tab w:leader="none" w:pos="2039" w:val="left"/>
        </w:tabs>
        <w:numPr>
          <w:ilvl w:val="1"/>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Defense. </w:t>
      </w:r>
      <w:r>
        <w:rPr>
          <w:rFonts w:ascii="Arial" w:cs="Arial" w:eastAsia="Arial" w:hAnsi="Arial"/>
          <w:sz w:val="19"/>
          <w:szCs w:val="19"/>
          <w:color w:val="auto"/>
        </w:rPr>
        <w:t>If both Parties are charged with infringement pursuant to a claim described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 6.4(a), the Parties shall defend such claim jointly, unless they agree otherwise. If only one Party is charged with infringement, such Party will have the first right but not the obligation to defend such claim. If the charged Party does not commence actions to defend such claim within [***] ([***]) calendar days after being so charged, then the other Party shall have the right, but not the obligation, to defend any such claim. In any event, the non-defending Party shall reasonably cooperate with the Party conducting the defense of the claim and shall have the right to participate with separate counsel at its own expense, and the defending Party shall consider comments by the non-defending Party in good faith. The Party defending the claim shall bear the cost and expenses of the defense of any such Third Party infringement claim and shall have sole rights to any recovery. If the Parties jointly defend the claim, BioXcel shall bear [***] percent ([***]%), and Nektar shall bear [***] percent ([***]%) of any costs and expenses of the defense of any such Third Party infringement claim;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the foregoing, if the claim relates solely to one Party’s Compound, such Party will bear one hundred percent (100%) of the costs and expenses of the defense of such claim, shall have sole rights to any recovery and shall have the sole right, but not the obligation, to defend, settle and otherwise handle the disposition of such claim. If either Party recovers monetary damages from any Third Party while jointly defending the claim, such recovery shall be allocated first to the reimbursement of any actual, unreimbursed costs and expenses incurred by the Parties in such litigation (including, for this purpose, a reasonable allocation of expenses of internal counsel) pro rata in accordance with the aggregate amounts spent by both Parties, and any remaining amounts shall be split</w:t>
      </w:r>
    </w:p>
    <w:p>
      <w:pPr>
        <w:spacing w:after="0" w:line="8" w:lineRule="exact"/>
        <w:rPr>
          <w:rFonts w:ascii="Arial" w:cs="Arial" w:eastAsia="Arial" w:hAnsi="Arial"/>
          <w:sz w:val="19"/>
          <w:szCs w:val="19"/>
          <w:b w:val="1"/>
          <w:bCs w:val="1"/>
          <w:color w:val="auto"/>
        </w:rPr>
      </w:pPr>
    </w:p>
    <w:p>
      <w:pPr>
        <w:jc w:val="both"/>
        <w:ind w:left="1" w:hanging="1"/>
        <w:spacing w:after="0" w:line="243" w:lineRule="auto"/>
        <w:tabs>
          <w:tab w:leader="none" w:pos="544" w:val="left"/>
        </w:tabs>
        <w:numPr>
          <w:ilvl w:val="0"/>
          <w:numId w:val="89"/>
        </w:numPr>
        <w:rPr>
          <w:rFonts w:ascii="Arial" w:cs="Arial" w:eastAsia="Arial" w:hAnsi="Arial"/>
          <w:sz w:val="21"/>
          <w:szCs w:val="21"/>
          <w:color w:val="auto"/>
        </w:rPr>
      </w:pPr>
      <w:r>
        <w:rPr>
          <w:rFonts w:ascii="Arial" w:cs="Arial" w:eastAsia="Arial" w:hAnsi="Arial"/>
          <w:sz w:val="21"/>
          <w:szCs w:val="21"/>
          <w:color w:val="auto"/>
        </w:rPr>
        <w:t>percent ([***]%) to BioXcel and [***] percent ([***]%) to Nektar, unless the Parties agree in writing to a different allocation. Neither Party shall enter into any settlement concerning activities under this Agreement or the Combined Therapy that affects the other Party’s rights under this Agreement or imposes any obligations on the other Party, including any admissions of wrongdoing on behalf of the other Party, without such other Party’s prior written consent, not to be unreasonably withheld or delayed, except that a Party may settle any claim that solely relates to its Compound without the consent of the other Party as long as such other Party’s rights under this Agreement are not adversely impacted (in which case, it will obtain such other Party’s prior written consent, not to be unreasonably withheld or delayed).</w:t>
      </w:r>
    </w:p>
    <w:p>
      <w:pPr>
        <w:spacing w:after="0" w:line="181" w:lineRule="exact"/>
        <w:rPr>
          <w:sz w:val="20"/>
          <w:szCs w:val="20"/>
          <w:color w:val="auto"/>
        </w:rPr>
      </w:pPr>
    </w:p>
    <w:p>
      <w:pPr>
        <w:jc w:val="both"/>
        <w:ind w:left="1" w:firstLine="648"/>
        <w:spacing w:after="0" w:line="276" w:lineRule="auto"/>
        <w:rPr>
          <w:sz w:val="20"/>
          <w:szCs w:val="20"/>
          <w:color w:val="auto"/>
        </w:rPr>
      </w:pPr>
      <w:r>
        <w:rPr>
          <w:rFonts w:ascii="Arial" w:cs="Arial" w:eastAsia="Arial" w:hAnsi="Arial"/>
          <w:sz w:val="19"/>
          <w:szCs w:val="19"/>
          <w:b w:val="1"/>
          <w:bCs w:val="1"/>
          <w:color w:val="auto"/>
        </w:rPr>
        <w:t xml:space="preserve">6.5 Combined Therapy Trial Regulatory Documentation. </w:t>
      </w:r>
      <w:r>
        <w:rPr>
          <w:rFonts w:ascii="Arial" w:cs="Arial" w:eastAsia="Arial" w:hAnsi="Arial"/>
          <w:sz w:val="19"/>
          <w:szCs w:val="19"/>
          <w:color w:val="auto"/>
        </w:rPr>
        <w:t>Subject to the license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granted by each Party to the other Party pursuant to this Agreement, BioXcel and Nektar shall jointly own all right, title and interest in and to the Combined Therapy Trial Regulatory Documentation;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Nektar shall retain sole and exclusive ownership of any Nektar Regulatory Documentation provided to BioXcel under this Agreement that is submitted with or referenced in the Combined Therapy Trial Regulatory Documentation and that BioXcel shall retain sole and exclusive ownership of any BioXcel Regulatory Documentation that is submitted with or referenced in the Combined Therapy Trial Regulatory Documentation. This Section 6.5 is without limitation of any other disclosure obligations under this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06" w:name="page107"/>
    <w:bookmarkEnd w:id="106"/>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COSTS AND EXPENSES</w:t>
      </w:r>
    </w:p>
    <w:p>
      <w:pPr>
        <w:spacing w:after="0" w:line="182"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b w:val="1"/>
          <w:bCs w:val="1"/>
          <w:color w:val="auto"/>
        </w:rPr>
        <w:t xml:space="preserve">7.1 Combined Therapy Trial Expenses. </w:t>
      </w:r>
      <w:r>
        <w:rPr>
          <w:rFonts w:ascii="Arial" w:cs="Arial" w:eastAsia="Arial" w:hAnsi="Arial"/>
          <w:sz w:val="19"/>
          <w:szCs w:val="19"/>
          <w:color w:val="auto"/>
        </w:rPr>
        <w:t>Expenses incurred as described in Article 4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and supply up to the point where the applicable BioXcel Compound or Nektar Compound arrives at the BioXcel labeling and distribution facility for the applicable Combined Therapy Trial), and Article 6 (regarding intellectual property) shall be borne or shared by the Parties as provided in such Articles. In addition, each Party shall bear its own Third Party License Payments as set forth in Section 2.6(b). For all other expenses that are directly attributable or reasonably allocable to the conduct of the Combined Therapy Trials, (a) Nektar will be responsible for [***] percent ([***]%) of all out-of-pocket costs paid to Third Parties (including taxes, to the extent non-creditable to BioXcel) reasonably incurred in connection with Third Party Contractors, CROs, laboratories and clinical sites/IRBs or otherwise by either Party in connection with the performance of the Combined Therapy Trials including, but not limited to, BioXcel’s out-of-pocket costs of labeling and packaging the unlabeled vials of the Nektar Compound provided by Nektar, labeling and packaging the commercially labeled vials of the CPI Compound provided by the CPI Compound supplier, and labeling and packaging the BioXcel Compound, in each case for distribution to clinical sites, and those costs described under Section 8.5, and that are incurred consistent with the JDC-approved budget for each Combined Therapy Trial (“</w:t>
      </w:r>
      <w:r>
        <w:rPr>
          <w:rFonts w:ascii="Arial" w:cs="Arial" w:eastAsia="Arial" w:hAnsi="Arial"/>
          <w:sz w:val="19"/>
          <w:szCs w:val="19"/>
          <w:b w:val="1"/>
          <w:bCs w:val="1"/>
          <w:i w:val="1"/>
          <w:iCs w:val="1"/>
          <w:color w:val="auto"/>
        </w:rPr>
        <w:t>Third Party Study Costs</w:t>
      </w:r>
      <w:r>
        <w:rPr>
          <w:rFonts w:ascii="Arial" w:cs="Arial" w:eastAsia="Arial" w:hAnsi="Arial"/>
          <w:sz w:val="19"/>
          <w:szCs w:val="19"/>
          <w:color w:val="auto"/>
        </w:rPr>
        <w:t>”); and (b) each Party shall be solely responsible for all of its own internal costs (including all internal full-time equivalents and all costs of individuals engaged as independent contractors) incurred by such Party or any of its Affiliates in the performance of each Combined Therapy Trial, to the extent not included in the definition of Third Party Study Costs. For the avoidance of doubt, Third Party Study Costs does not include Third Party License Payments by Nektar, Third Party License Payments by BioXcel or any Third Party Claims.</w:t>
      </w:r>
    </w:p>
    <w:p>
      <w:pPr>
        <w:spacing w:after="0" w:line="200" w:lineRule="exact"/>
        <w:rPr>
          <w:sz w:val="20"/>
          <w:szCs w:val="20"/>
          <w:color w:val="auto"/>
        </w:rPr>
      </w:pPr>
    </w:p>
    <w:p>
      <w:pPr>
        <w:spacing w:after="0" w:line="211"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19"/>
          <w:szCs w:val="19"/>
          <w:b w:val="1"/>
          <w:bCs w:val="1"/>
          <w:color w:val="auto"/>
        </w:rPr>
        <w:t>Invoicing; Payment.</w:t>
      </w:r>
    </w:p>
    <w:p>
      <w:pPr>
        <w:spacing w:after="0" w:line="206" w:lineRule="exact"/>
        <w:rPr>
          <w:sz w:val="20"/>
          <w:szCs w:val="20"/>
          <w:color w:val="auto"/>
        </w:rPr>
      </w:pPr>
    </w:p>
    <w:p>
      <w:pPr>
        <w:ind w:left="1881" w:hanging="584"/>
        <w:spacing w:after="0"/>
        <w:tabs>
          <w:tab w:leader="none" w:pos="1881" w:val="left"/>
        </w:tabs>
        <w:numPr>
          <w:ilvl w:val="1"/>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Designation of Finance Representatives; Reconciliation</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left="1" w:firstLine="1944"/>
        <w:spacing w:after="0" w:line="270" w:lineRule="auto"/>
        <w:tabs>
          <w:tab w:leader="none" w:pos="2757" w:val="left"/>
        </w:tabs>
        <w:numPr>
          <w:ilvl w:val="2"/>
          <w:numId w:val="90"/>
        </w:numPr>
        <w:rPr>
          <w:rFonts w:ascii="Arial" w:cs="Arial" w:eastAsia="Arial" w:hAnsi="Arial"/>
          <w:sz w:val="19"/>
          <w:szCs w:val="19"/>
          <w:b w:val="1"/>
          <w:bCs w:val="1"/>
          <w:color w:val="auto"/>
        </w:rPr>
      </w:pPr>
      <w:r>
        <w:rPr>
          <w:rFonts w:ascii="Arial" w:cs="Arial" w:eastAsia="Arial" w:hAnsi="Arial"/>
          <w:sz w:val="19"/>
          <w:szCs w:val="19"/>
          <w:color w:val="auto"/>
        </w:rPr>
        <w:t>Each of the Parties shall designate a representative from its Finance Department to interact with the designee of the other Party concerning preparation of the budget for each Combined Therapy Trial (including the Initial Trial) for approval by the JDC, reconciliation of costs incurred in the conduct of each Combined Therapy Trial, the method to be used by both Parties to determine the amounts to be invoiced by BioXcel to Nektar hereunder, and to act as the point of contact for any other matters arising between the Parties under Article 7 (the “</w:t>
      </w:r>
      <w:r>
        <w:rPr>
          <w:rFonts w:ascii="Arial" w:cs="Arial" w:eastAsia="Arial" w:hAnsi="Arial"/>
          <w:sz w:val="19"/>
          <w:szCs w:val="19"/>
          <w:b w:val="1"/>
          <w:bCs w:val="1"/>
          <w:i w:val="1"/>
          <w:iCs w:val="1"/>
          <w:color w:val="auto"/>
        </w:rPr>
        <w:t>Finance Representatives</w:t>
      </w:r>
      <w:r>
        <w:rPr>
          <w:rFonts w:ascii="Arial" w:cs="Arial" w:eastAsia="Arial" w:hAnsi="Arial"/>
          <w:sz w:val="19"/>
          <w:szCs w:val="19"/>
          <w:color w:val="auto"/>
        </w:rPr>
        <w:t>”). Nektar shall reimburse BioXcel, on a quarterly basis in arrears, for Nektar’s</w:t>
      </w:r>
    </w:p>
    <w:p>
      <w:pPr>
        <w:spacing w:after="0" w:line="1" w:lineRule="exact"/>
        <w:rPr>
          <w:rFonts w:ascii="Arial" w:cs="Arial" w:eastAsia="Arial" w:hAnsi="Arial"/>
          <w:sz w:val="19"/>
          <w:szCs w:val="19"/>
          <w:b w:val="1"/>
          <w:bCs w:val="1"/>
          <w:color w:val="auto"/>
        </w:rPr>
      </w:pPr>
    </w:p>
    <w:p>
      <w:pPr>
        <w:jc w:val="both"/>
        <w:ind w:left="1" w:hanging="1"/>
        <w:spacing w:after="0" w:line="233" w:lineRule="auto"/>
        <w:tabs>
          <w:tab w:leader="none" w:pos="534" w:val="left"/>
        </w:tabs>
        <w:numPr>
          <w:ilvl w:val="0"/>
          <w:numId w:val="90"/>
        </w:numPr>
        <w:rPr>
          <w:rFonts w:ascii="Arial" w:cs="Arial" w:eastAsia="Arial" w:hAnsi="Arial"/>
          <w:sz w:val="22"/>
          <w:szCs w:val="22"/>
          <w:color w:val="auto"/>
        </w:rPr>
      </w:pPr>
      <w:r>
        <w:rPr>
          <w:rFonts w:ascii="Arial" w:cs="Arial" w:eastAsia="Arial" w:hAnsi="Arial"/>
          <w:sz w:val="22"/>
          <w:szCs w:val="22"/>
          <w:color w:val="auto"/>
        </w:rPr>
        <w:t>percent ([***]%) share of all Third Party Study Costs under U.S. Generally Accepted Accounting Principles incurred by BioXcel during the prior quarter. Without the prior written consent of Nektar, the amount to be reimbursed by Nektar for its [***] percent ([***]%) share of Third Party Study Costs as provided in the previous sentence shall not exceed [***] United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07" w:name="page108"/>
    <w:bookmarkEnd w:id="107"/>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70" w:lineRule="auto"/>
        <w:rPr>
          <w:sz w:val="20"/>
          <w:szCs w:val="20"/>
          <w:color w:val="auto"/>
        </w:rPr>
      </w:pPr>
      <w:r>
        <w:rPr>
          <w:rFonts w:ascii="Arial" w:cs="Arial" w:eastAsia="Arial" w:hAnsi="Arial"/>
          <w:sz w:val="19"/>
          <w:szCs w:val="19"/>
          <w:color w:val="auto"/>
        </w:rPr>
        <w:t>States dollars ($[***]) per patient completing Combined Therapy in accordance with the Protocol. In the event BioXcel becomes aware that its actual Third Party Study Costs would cause the cap on Nektar’s reimbursement obligation to be exceeded, BioXcel shall promptly notify Nektar through its JDC representatives, and the Parties, through the JDC, shall discuss whether to adjust the budget and whether the cap on Nektar’s reimbursement obligation should be revised to cover [***] percent ([***]%) of BioXcel’s actual Third Party Study Costs. Within</w:t>
      </w:r>
    </w:p>
    <w:p>
      <w:pPr>
        <w:spacing w:after="0" w:line="4" w:lineRule="exact"/>
        <w:rPr>
          <w:sz w:val="20"/>
          <w:szCs w:val="20"/>
          <w:color w:val="auto"/>
        </w:rPr>
      </w:pPr>
    </w:p>
    <w:p>
      <w:pPr>
        <w:ind w:left="541" w:hanging="541"/>
        <w:spacing w:after="0"/>
        <w:tabs>
          <w:tab w:leader="none" w:pos="541" w:val="left"/>
        </w:tabs>
        <w:numPr>
          <w:ilvl w:val="0"/>
          <w:numId w:val="91"/>
        </w:numPr>
        <w:rPr>
          <w:rFonts w:ascii="Arial" w:cs="Arial" w:eastAsia="Arial" w:hAnsi="Arial"/>
          <w:sz w:val="19"/>
          <w:szCs w:val="19"/>
          <w:color w:val="auto"/>
        </w:rPr>
      </w:pPr>
      <w:r>
        <w:rPr>
          <w:rFonts w:ascii="Arial" w:cs="Arial" w:eastAsia="Arial" w:hAnsi="Arial"/>
          <w:sz w:val="19"/>
          <w:szCs w:val="19"/>
          <w:color w:val="auto"/>
        </w:rPr>
        <w:t>([***]) Business Days after the end of each quarter BioXcel shall submit to Nektar an estimate of Nektar’s</w:t>
      </w:r>
    </w:p>
    <w:p>
      <w:pPr>
        <w:spacing w:after="0" w:line="24" w:lineRule="exact"/>
        <w:rPr>
          <w:rFonts w:ascii="Arial" w:cs="Arial" w:eastAsia="Arial" w:hAnsi="Arial"/>
          <w:sz w:val="19"/>
          <w:szCs w:val="19"/>
          <w:color w:val="auto"/>
        </w:rPr>
      </w:pPr>
    </w:p>
    <w:p>
      <w:pPr>
        <w:jc w:val="both"/>
        <w:ind w:left="1" w:hanging="1"/>
        <w:spacing w:after="0" w:line="267" w:lineRule="auto"/>
        <w:tabs>
          <w:tab w:leader="none" w:pos="532" w:val="left"/>
        </w:tabs>
        <w:numPr>
          <w:ilvl w:val="0"/>
          <w:numId w:val="91"/>
        </w:numPr>
        <w:rPr>
          <w:rFonts w:ascii="Arial" w:cs="Arial" w:eastAsia="Arial" w:hAnsi="Arial"/>
          <w:sz w:val="19"/>
          <w:szCs w:val="19"/>
          <w:color w:val="auto"/>
        </w:rPr>
      </w:pPr>
      <w:r>
        <w:rPr>
          <w:rFonts w:ascii="Arial" w:cs="Arial" w:eastAsia="Arial" w:hAnsi="Arial"/>
          <w:sz w:val="19"/>
          <w:szCs w:val="19"/>
          <w:color w:val="auto"/>
        </w:rPr>
        <w:t>percent ([***]%) share of Third Party Study Costs for the prior quarter. Within [***] ([***]) Business Days of the end of each quarter BioXcel shall submit to Nektar (1) a final invoice for Nektar’s [***] percent ([***]%) share of Third Party Study costs for the prior quarter, and (2) an electronic report that specifies in reasonable detail all such expenses included in such Third Party Study Costs, and all Section 5.1(a) and Section 8.5 costs during such prior quarter (a “</w:t>
      </w:r>
      <w:r>
        <w:rPr>
          <w:rFonts w:ascii="Arial" w:cs="Arial" w:eastAsia="Arial" w:hAnsi="Arial"/>
          <w:sz w:val="19"/>
          <w:szCs w:val="19"/>
          <w:b w:val="1"/>
          <w:bCs w:val="1"/>
          <w:i w:val="1"/>
          <w:iCs w:val="1"/>
          <w:color w:val="auto"/>
        </w:rPr>
        <w:t>Quarterly Report</w:t>
      </w:r>
      <w:r>
        <w:rPr>
          <w:rFonts w:ascii="Arial" w:cs="Arial" w:eastAsia="Arial" w:hAnsi="Arial"/>
          <w:sz w:val="19"/>
          <w:szCs w:val="19"/>
          <w:color w:val="auto"/>
        </w:rPr>
        <w:t>”). All BioXcel invoices to Nektar shall be in United States dollars. Third Party Study Costs incurred by BioXcel in a currency other than United States dollars shall be converted to United States dollars by BioXcel using BioXcel’s standard currency conversion methodology consistently applied. Nektar agrees to accept electronic copies of invoices and reports, in .pdf format, emailed to Nektar at AP@Nektar.com as sufficient delivery thereof to process payments to BioXcel. If requested by Nektar in writing, BioXcel shall provide invoices or other appropriate supporting documentation for any payments to a Third Party exceeding [***] United States dollars ($[***]). If requested by Nektar in writing, BioXcel shall provide a reconciliation between the cumulative amounts paid and the expenses recorded by BioXcel for the Combined Therapy Trial as reported under U.S. Generally Accepted Accounting Principles. The Parties shall seek to resolve any questions related to such invoices and/or Quarterly Reports within [***] ([***]) Business Days following receipt by Nektar of BioXcel’s invoice and Quarterly Report hereunder. Based on the invoices and reports, payment will be made by Nektar within</w:t>
      </w:r>
    </w:p>
    <w:p>
      <w:pPr>
        <w:jc w:val="both"/>
        <w:ind w:left="1" w:hanging="1"/>
        <w:spacing w:after="0" w:line="275" w:lineRule="auto"/>
        <w:tabs>
          <w:tab w:leader="none" w:pos="536" w:val="left"/>
        </w:tabs>
        <w:numPr>
          <w:ilvl w:val="0"/>
          <w:numId w:val="91"/>
        </w:numPr>
        <w:rPr>
          <w:rFonts w:ascii="Arial" w:cs="Arial" w:eastAsia="Arial" w:hAnsi="Arial"/>
          <w:sz w:val="19"/>
          <w:szCs w:val="19"/>
          <w:color w:val="auto"/>
        </w:rPr>
      </w:pPr>
      <w:r>
        <w:rPr>
          <w:rFonts w:ascii="Arial" w:cs="Arial" w:eastAsia="Arial" w:hAnsi="Arial"/>
          <w:sz w:val="19"/>
          <w:szCs w:val="19"/>
          <w:color w:val="auto"/>
        </w:rPr>
        <w:t>([***]) calendar days after the delivery of such invoice and Quarterly Report. If Nektar disputes an amount due on an invoice, Nektar will notify BioXcel of such dispute within [***] ([***]) Business Days of receipt of such invoice and shall pay the amount not in dispute after BioXcel submits a new invoice for the undisputed amount. The Parties shall use good faith efforts to discuss and resolve any disputed amounts. Any undisputed invoiced amount which is not paid by its due date shall be assessed a late payment fee at the rate of one percent (1%) per month, compounded monthly, or at the highest rate permitted under Applicable Law, if less.</w:t>
      </w:r>
    </w:p>
    <w:p>
      <w:pPr>
        <w:spacing w:after="0" w:line="154" w:lineRule="exact"/>
        <w:rPr>
          <w:rFonts w:ascii="Arial" w:cs="Arial" w:eastAsia="Arial" w:hAnsi="Arial"/>
          <w:sz w:val="19"/>
          <w:szCs w:val="19"/>
          <w:color w:val="auto"/>
        </w:rPr>
      </w:pPr>
    </w:p>
    <w:p>
      <w:pPr>
        <w:jc w:val="both"/>
        <w:ind w:left="1" w:firstLine="1944"/>
        <w:spacing w:after="0" w:line="273" w:lineRule="auto"/>
        <w:tabs>
          <w:tab w:leader="none" w:pos="2682" w:val="left"/>
        </w:tabs>
        <w:numPr>
          <w:ilvl w:val="1"/>
          <w:numId w:val="91"/>
        </w:numPr>
        <w:rPr>
          <w:rFonts w:ascii="Arial" w:cs="Arial" w:eastAsia="Arial" w:hAnsi="Arial"/>
          <w:sz w:val="19"/>
          <w:szCs w:val="19"/>
          <w:b w:val="1"/>
          <w:bCs w:val="1"/>
          <w:color w:val="auto"/>
        </w:rPr>
      </w:pPr>
      <w:r>
        <w:rPr>
          <w:rFonts w:ascii="Arial" w:cs="Arial" w:eastAsia="Arial" w:hAnsi="Arial"/>
          <w:sz w:val="19"/>
          <w:szCs w:val="19"/>
          <w:color w:val="auto"/>
        </w:rPr>
        <w:t>BioXcel shall reimburse Nektar, on a quarterly basis in arrears, for BioXcel’s [***] percent ([***]%) share of all costs and expenses incurred by Nektar under Article 6, actually invoiced to Nektar by Third Parties during the prior quarter. Within [***] ([***]) Business Days of the end of each quarter, Nektar shall</w:t>
      </w:r>
    </w:p>
    <w:p>
      <w:pPr>
        <w:spacing w:after="0" w:line="1" w:lineRule="exact"/>
        <w:rPr>
          <w:rFonts w:ascii="Arial" w:cs="Arial" w:eastAsia="Arial" w:hAnsi="Arial"/>
          <w:sz w:val="19"/>
          <w:szCs w:val="19"/>
          <w:b w:val="1"/>
          <w:bCs w:val="1"/>
          <w:color w:val="auto"/>
        </w:rPr>
      </w:pPr>
    </w:p>
    <w:p>
      <w:pPr>
        <w:jc w:val="both"/>
        <w:ind w:left="1"/>
        <w:spacing w:after="0" w:line="232" w:lineRule="auto"/>
        <w:rPr>
          <w:rFonts w:ascii="Arial" w:cs="Arial" w:eastAsia="Arial" w:hAnsi="Arial"/>
          <w:sz w:val="19"/>
          <w:szCs w:val="19"/>
          <w:b w:val="1"/>
          <w:bCs w:val="1"/>
          <w:color w:val="auto"/>
        </w:rPr>
      </w:pPr>
      <w:r>
        <w:rPr>
          <w:rFonts w:ascii="Arial" w:cs="Arial" w:eastAsia="Arial" w:hAnsi="Arial"/>
          <w:sz w:val="22"/>
          <w:szCs w:val="22"/>
          <w:color w:val="auto"/>
        </w:rPr>
        <w:t>(1) submit to BioXcel an invoice for BioXcel’s [***] percent ([***]%) share of all such Article 6 costs and expenses, and (2) an electronic report that specifies in reasonable detail all such Article 6 costs expenses during such quarter (a “</w:t>
      </w:r>
      <w:r>
        <w:rPr>
          <w:rFonts w:ascii="Arial" w:cs="Arial" w:eastAsia="Arial" w:hAnsi="Arial"/>
          <w:sz w:val="22"/>
          <w:szCs w:val="22"/>
          <w:b w:val="1"/>
          <w:bCs w:val="1"/>
          <w:i w:val="1"/>
          <w:iCs w:val="1"/>
          <w:color w:val="auto"/>
        </w:rPr>
        <w:t>Quarterly Patent Costs Report</w:t>
      </w:r>
      <w:r>
        <w:rPr>
          <w:rFonts w:ascii="Arial" w:cs="Arial" w:eastAsia="Arial" w:hAnsi="Arial"/>
          <w:sz w:val="22"/>
          <w:szCs w:val="22"/>
          <w:color w:val="auto"/>
        </w:rPr>
        <w:t>”). All Nektar invoices to BioXcel shall be in United States dollars. Third Party expenses incurred by Nektar in a currency other than United States dollars shall be converted to United States dollars by Nektar using Nektar’s standard currency conversion methodology consistently applied. BioXcel agrees to accept electronic copies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08" w:name="page109"/>
    <w:bookmarkEnd w:id="108"/>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invoices and reports, in .pdf format, emailed to BioXcel at an address provided by the BioXcel Alliance Manager as sufficient delivery thereof to process payments to Nektar. If requested by BioXcel in writing, Nektar shall provide invoices or other appropriate supporting documentation for any payments to a Third Party exceeding $[***]. If requested by BioXcel in writing, Nektar shall provide a reconciliation between the cumulative amounts invoiced to BioXcel and the expenses recorded by Nektar for the Combined Therapy Trial as reported under U.S. Generally Accepted Accounting Principles. The Parties shall seek to resolve any questions related to such invoices and/or Quarterly Patent Costs Reports within [***] ([***]) Business Days following receipt by BioXcel of Nektar’s invoice and Quarterly Patent Costs Report hereunder. Based on the invoices and reports, payment will be made by BioXcel within [***] ([***]) calendar days after the delivery of such invoice and Quarterly Patent Costs Report. If BioXcel disputes an amount due on an invoice, BioXcel will notify Nektar of such dispute within [***] ([***]) Business Days of receipt of such invoice and shall pay the amount not in dispute after Nektar submits a new invoice for the undisputed amount. The Parties shall use good faith efforts to discuss and resolve any disputed amounts. Any undisputed invoiced amount which is not paid by its due date shall be assessed a late payment fee at the rate of one percent (1%) per month, compounded monthly, or at the highest rate permitted under Applicable Law, if less.</w:t>
      </w:r>
    </w:p>
    <w:p>
      <w:pPr>
        <w:spacing w:after="0" w:line="189" w:lineRule="exact"/>
        <w:rPr>
          <w:sz w:val="20"/>
          <w:szCs w:val="20"/>
          <w:color w:val="auto"/>
        </w:rPr>
      </w:pPr>
    </w:p>
    <w:p>
      <w:pPr>
        <w:jc w:val="both"/>
        <w:ind w:firstLine="1296"/>
        <w:spacing w:after="0" w:line="243" w:lineRule="auto"/>
        <w:tabs>
          <w:tab w:leader="none" w:pos="2029"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Method by Nektar. </w:t>
      </w:r>
      <w:r>
        <w:rPr>
          <w:rFonts w:ascii="Arial" w:cs="Arial" w:eastAsia="Arial" w:hAnsi="Arial"/>
          <w:sz w:val="22"/>
          <w:szCs w:val="22"/>
          <w:color w:val="auto"/>
        </w:rPr>
        <w:t>Nektar shall pay all amounts due hereunder to BioXcel in</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dollars by check or by electronic funds transmission to the BioXcel account below or such bank account BioXcel designates in writing from time to time.</w:t>
      </w:r>
    </w:p>
    <w:p>
      <w:pPr>
        <w:spacing w:after="0" w:line="183"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BioXcel Tax ID # 82-1386754</w:t>
      </w:r>
    </w:p>
    <w:p>
      <w:pPr>
        <w:ind w:left="2000"/>
        <w:spacing w:after="0" w:line="238" w:lineRule="auto"/>
        <w:rPr>
          <w:sz w:val="20"/>
          <w:szCs w:val="20"/>
          <w:color w:val="auto"/>
        </w:rPr>
      </w:pPr>
      <w:r>
        <w:rPr>
          <w:rFonts w:ascii="Arial" w:cs="Arial" w:eastAsia="Arial" w:hAnsi="Arial"/>
          <w:sz w:val="22"/>
          <w:szCs w:val="22"/>
          <w:color w:val="auto"/>
        </w:rPr>
        <w:t>BioXcel Bank Account Information:</w:t>
      </w:r>
    </w:p>
    <w:p>
      <w:pPr>
        <w:ind w:left="2000"/>
        <w:spacing w:after="0" w:line="230" w:lineRule="auto"/>
        <w:rPr>
          <w:sz w:val="20"/>
          <w:szCs w:val="20"/>
          <w:color w:val="auto"/>
        </w:rPr>
      </w:pPr>
      <w:r>
        <w:rPr>
          <w:rFonts w:ascii="Arial" w:cs="Arial" w:eastAsia="Arial" w:hAnsi="Arial"/>
          <w:sz w:val="22"/>
          <w:szCs w:val="22"/>
          <w:color w:val="auto"/>
        </w:rPr>
        <w:t xml:space="preserve">Account Name: </w:t>
      </w:r>
      <w:r>
        <w:rPr>
          <w:rFonts w:ascii="Arial" w:cs="Arial" w:eastAsia="Arial" w:hAnsi="Arial"/>
          <w:sz w:val="19"/>
          <w:szCs w:val="19"/>
          <w:color w:val="auto"/>
        </w:rPr>
        <w:t>[***]</w:t>
      </w:r>
    </w:p>
    <w:p>
      <w:pPr>
        <w:ind w:left="2000"/>
        <w:spacing w:after="0" w:line="231" w:lineRule="auto"/>
        <w:rPr>
          <w:sz w:val="20"/>
          <w:szCs w:val="20"/>
          <w:color w:val="auto"/>
        </w:rPr>
      </w:pPr>
      <w:r>
        <w:rPr>
          <w:rFonts w:ascii="Arial" w:cs="Arial" w:eastAsia="Arial" w:hAnsi="Arial"/>
          <w:sz w:val="22"/>
          <w:szCs w:val="22"/>
          <w:color w:val="auto"/>
        </w:rPr>
        <w:t xml:space="preserve">Account No. </w:t>
      </w:r>
      <w:r>
        <w:rPr>
          <w:rFonts w:ascii="Arial" w:cs="Arial" w:eastAsia="Arial" w:hAnsi="Arial"/>
          <w:sz w:val="19"/>
          <w:szCs w:val="19"/>
          <w:color w:val="auto"/>
        </w:rPr>
        <w:t>[***]</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 xml:space="preserve">ABA Routing No. </w:t>
      </w:r>
      <w:r>
        <w:rPr>
          <w:rFonts w:ascii="Arial" w:cs="Arial" w:eastAsia="Arial" w:hAnsi="Arial"/>
          <w:sz w:val="19"/>
          <w:szCs w:val="19"/>
          <w:color w:val="auto"/>
        </w:rPr>
        <w:t>[***]</w:t>
      </w:r>
    </w:p>
    <w:p>
      <w:pPr>
        <w:spacing w:after="0" w:line="196" w:lineRule="exact"/>
        <w:rPr>
          <w:sz w:val="20"/>
          <w:szCs w:val="20"/>
          <w:color w:val="auto"/>
        </w:rPr>
      </w:pPr>
    </w:p>
    <w:p>
      <w:pPr>
        <w:jc w:val="both"/>
        <w:ind w:firstLine="1296"/>
        <w:spacing w:after="0" w:line="243" w:lineRule="auto"/>
        <w:tabs>
          <w:tab w:leader="none" w:pos="2033"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Payment Method by BioXcel. </w:t>
      </w:r>
      <w:r>
        <w:rPr>
          <w:rFonts w:ascii="Arial" w:cs="Arial" w:eastAsia="Arial" w:hAnsi="Arial"/>
          <w:sz w:val="22"/>
          <w:szCs w:val="22"/>
          <w:color w:val="auto"/>
        </w:rPr>
        <w:t>BioXcel shall pay all amounts due hereunder to Nektar in</w:t>
      </w:r>
      <w:r>
        <w:rPr>
          <w:rFonts w:ascii="Arial" w:cs="Arial" w:eastAsia="Arial" w:hAnsi="Arial"/>
          <w:sz w:val="22"/>
          <w:szCs w:val="22"/>
          <w:b w:val="1"/>
          <w:bCs w:val="1"/>
          <w:color w:val="auto"/>
        </w:rPr>
        <w:t xml:space="preserve"> </w:t>
      </w:r>
      <w:r>
        <w:rPr>
          <w:rFonts w:ascii="Arial" w:cs="Arial" w:eastAsia="Arial" w:hAnsi="Arial"/>
          <w:sz w:val="22"/>
          <w:szCs w:val="22"/>
          <w:color w:val="auto"/>
        </w:rPr>
        <w:t>United States dollars by check or by electronic funds transmission to the Nektar account below or such bank account Nektar designates in writing from time to time.</w:t>
      </w:r>
    </w:p>
    <w:p>
      <w:pPr>
        <w:spacing w:after="0" w:line="183"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Nektar Tax ID # 94-3134940</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Nektar Bank Account Information:</w:t>
      </w:r>
    </w:p>
    <w:p>
      <w:pPr>
        <w:ind w:left="2000"/>
        <w:spacing w:after="0" w:line="236" w:lineRule="auto"/>
        <w:rPr>
          <w:sz w:val="20"/>
          <w:szCs w:val="20"/>
          <w:color w:val="auto"/>
        </w:rPr>
      </w:pPr>
      <w:r>
        <w:rPr>
          <w:rFonts w:ascii="Arial" w:cs="Arial" w:eastAsia="Arial" w:hAnsi="Arial"/>
          <w:sz w:val="20"/>
          <w:szCs w:val="20"/>
          <w:color w:val="auto"/>
        </w:rPr>
        <w:t>[***]</w:t>
      </w:r>
    </w:p>
    <w:p>
      <w:pPr>
        <w:ind w:left="2000"/>
        <w:spacing w:after="0" w:line="231" w:lineRule="auto"/>
        <w:rPr>
          <w:sz w:val="20"/>
          <w:szCs w:val="20"/>
          <w:color w:val="auto"/>
        </w:rPr>
      </w:pPr>
      <w:r>
        <w:rPr>
          <w:rFonts w:ascii="Arial" w:cs="Arial" w:eastAsia="Arial" w:hAnsi="Arial"/>
          <w:sz w:val="22"/>
          <w:szCs w:val="22"/>
          <w:color w:val="auto"/>
        </w:rPr>
        <w:t xml:space="preserve">Account No. </w:t>
      </w:r>
      <w:r>
        <w:rPr>
          <w:rFonts w:ascii="Arial" w:cs="Arial" w:eastAsia="Arial" w:hAnsi="Arial"/>
          <w:sz w:val="19"/>
          <w:szCs w:val="19"/>
          <w:color w:val="auto"/>
        </w:rPr>
        <w:t>[***]</w:t>
      </w:r>
    </w:p>
    <w:p>
      <w:pPr>
        <w:ind w:left="2000"/>
        <w:spacing w:after="0" w:line="231" w:lineRule="auto"/>
        <w:rPr>
          <w:sz w:val="20"/>
          <w:szCs w:val="20"/>
          <w:color w:val="auto"/>
        </w:rPr>
      </w:pPr>
      <w:r>
        <w:rPr>
          <w:rFonts w:ascii="Arial" w:cs="Arial" w:eastAsia="Arial" w:hAnsi="Arial"/>
          <w:sz w:val="22"/>
          <w:szCs w:val="22"/>
          <w:color w:val="auto"/>
        </w:rPr>
        <w:t xml:space="preserve">Routing No. </w:t>
      </w:r>
      <w:r>
        <w:rPr>
          <w:rFonts w:ascii="Arial" w:cs="Arial" w:eastAsia="Arial" w:hAnsi="Arial"/>
          <w:sz w:val="19"/>
          <w:szCs w:val="19"/>
          <w:color w:val="auto"/>
        </w:rPr>
        <w:t>[***]</w:t>
      </w:r>
    </w:p>
    <w:p>
      <w:pPr>
        <w:ind w:left="2000"/>
        <w:spacing w:after="0"/>
        <w:rPr>
          <w:sz w:val="20"/>
          <w:szCs w:val="20"/>
          <w:color w:val="auto"/>
        </w:rPr>
      </w:pPr>
      <w:r>
        <w:rPr>
          <w:rFonts w:ascii="Arial" w:cs="Arial" w:eastAsia="Arial" w:hAnsi="Arial"/>
          <w:sz w:val="22"/>
          <w:szCs w:val="22"/>
          <w:color w:val="auto"/>
        </w:rPr>
        <w:t xml:space="preserve">Swift Code (international wires) </w:t>
      </w:r>
      <w:r>
        <w:rPr>
          <w:rFonts w:ascii="Arial" w:cs="Arial" w:eastAsia="Arial" w:hAnsi="Arial"/>
          <w:sz w:val="19"/>
          <w:szCs w:val="19"/>
          <w:color w:val="auto"/>
        </w:rPr>
        <w:t>[***]</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7.3 Audit. </w:t>
      </w:r>
      <w:r>
        <w:rPr>
          <w:rFonts w:ascii="Arial" w:cs="Arial" w:eastAsia="Arial" w:hAnsi="Arial"/>
          <w:sz w:val="22"/>
          <w:szCs w:val="22"/>
          <w:color w:val="auto"/>
        </w:rPr>
        <w:t>At the request (and expense) of Nektar, BioXcel shall permit an independent certified public</w:t>
      </w:r>
      <w:r>
        <w:rPr>
          <w:rFonts w:ascii="Arial" w:cs="Arial" w:eastAsia="Arial" w:hAnsi="Arial"/>
          <w:sz w:val="22"/>
          <w:szCs w:val="22"/>
          <w:b w:val="1"/>
          <w:bCs w:val="1"/>
          <w:color w:val="auto"/>
        </w:rPr>
        <w:t xml:space="preserve"> </w:t>
      </w:r>
      <w:r>
        <w:rPr>
          <w:rFonts w:ascii="Arial" w:cs="Arial" w:eastAsia="Arial" w:hAnsi="Arial"/>
          <w:sz w:val="22"/>
          <w:szCs w:val="22"/>
          <w:color w:val="auto"/>
        </w:rPr>
        <w:t>accountant appointed by Nektar and reasonably acceptable to BioXcel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accountant shall be compensated on the basis of time spent on the audit and not on a contingency basis, and shall have entered into a confidentiality agreement with BioXcel),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09" w:name="page110"/>
    <w:bookmarkEnd w:id="109"/>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70" w:lineRule="auto"/>
        <w:rPr>
          <w:sz w:val="20"/>
          <w:szCs w:val="20"/>
          <w:color w:val="auto"/>
        </w:rPr>
      </w:pPr>
      <w:r>
        <w:rPr>
          <w:rFonts w:ascii="Arial" w:cs="Arial" w:eastAsia="Arial" w:hAnsi="Arial"/>
          <w:sz w:val="19"/>
          <w:szCs w:val="19"/>
          <w:color w:val="auto"/>
        </w:rPr>
        <w:t>at reasonable times and upon reasonable notice, to examine only those records as may be reasonably necessary to determine, with respect to any calendar year ending not more than [***] ([***]) years prior to Nektar’s request, the correctness or completeness of any invoice submitted to Nektar or other payment made to BioXcel pursuant to this Agreement. The foregoing right of review may be exercised only once per year and only once with respect to each such periodic report and payment. Results of any such examination shall be: (a) made available to both Parties; and</w:t>
      </w:r>
    </w:p>
    <w:p>
      <w:pPr>
        <w:spacing w:after="0" w:line="4" w:lineRule="exact"/>
        <w:rPr>
          <w:sz w:val="20"/>
          <w:szCs w:val="20"/>
          <w:color w:val="auto"/>
        </w:rPr>
      </w:pPr>
    </w:p>
    <w:p>
      <w:pPr>
        <w:jc w:val="both"/>
        <w:ind w:left="1" w:hanging="1"/>
        <w:spacing w:after="0" w:line="232" w:lineRule="auto"/>
        <w:tabs>
          <w:tab w:leader="none" w:pos="335" w:val="left"/>
        </w:tabs>
        <w:numPr>
          <w:ilvl w:val="0"/>
          <w:numId w:val="94"/>
        </w:numPr>
        <w:rPr>
          <w:rFonts w:ascii="Arial" w:cs="Arial" w:eastAsia="Arial" w:hAnsi="Arial"/>
          <w:sz w:val="22"/>
          <w:szCs w:val="22"/>
          <w:color w:val="auto"/>
        </w:rPr>
      </w:pPr>
      <w:r>
        <w:rPr>
          <w:rFonts w:ascii="Arial" w:cs="Arial" w:eastAsia="Arial" w:hAnsi="Arial"/>
          <w:sz w:val="22"/>
          <w:szCs w:val="22"/>
          <w:color w:val="auto"/>
        </w:rPr>
        <w:t>subject to Article 9. Nektar shall bear the full cost of the performance of any such audit, unless such audit discloses a variance of more than [***]percent (+/- [***]%) from the amount of the original report or payment calculation, in which case, BioXcel shall bear the full cost of the performance of such audit. BioXcel shall have reciprocal audit rights for any Article 6 costs and expenses incurred by Nektar and invoiced to BioXcel hereunder. If, as a result of any audit, it is shown that payments received by the Parties under this Agreement were less or more than the amount which should have been received, then the appropriate Party shall make or refund all payments required to be made to eliminate any discrepancy revealed by said audit within [***] ([***]) calendar days.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RECORDS AND STUDY DATA</w:t>
      </w:r>
    </w:p>
    <w:p>
      <w:pPr>
        <w:spacing w:after="0" w:line="182"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9"/>
          <w:szCs w:val="19"/>
          <w:b w:val="1"/>
          <w:bCs w:val="1"/>
          <w:color w:val="auto"/>
        </w:rPr>
        <w:t xml:space="preserve">8.1 Records. </w:t>
      </w:r>
      <w:r>
        <w:rPr>
          <w:rFonts w:ascii="Arial" w:cs="Arial" w:eastAsia="Arial" w:hAnsi="Arial"/>
          <w:sz w:val="19"/>
          <w:szCs w:val="19"/>
          <w:color w:val="auto"/>
        </w:rPr>
        <w:t>Each Party shall maintain complete and accurate records of all work conducted with</w:t>
      </w:r>
      <w:r>
        <w:rPr>
          <w:rFonts w:ascii="Arial" w:cs="Arial" w:eastAsia="Arial" w:hAnsi="Arial"/>
          <w:sz w:val="19"/>
          <w:szCs w:val="19"/>
          <w:b w:val="1"/>
          <w:bCs w:val="1"/>
          <w:color w:val="auto"/>
        </w:rPr>
        <w:t xml:space="preserve"> </w:t>
      </w:r>
      <w:r>
        <w:rPr>
          <w:rFonts w:ascii="Arial" w:cs="Arial" w:eastAsia="Arial" w:hAnsi="Arial"/>
          <w:sz w:val="19"/>
          <w:szCs w:val="19"/>
          <w:color w:val="auto"/>
        </w:rPr>
        <w:t>respect to the Combined Therapy Trials and of all results, information, data, data analyses, reports, records, methods, processes, practices, formulae, instructions, skills, techniques, procedures, experiences and developments made by or provided to either Party, or by the Parties together, in the course of such Party(ies)’ efforts with respect to the Combined Therapy Trials (including the Statistical Analysis Plan and any Bioanalysis Plan to be conducted pursuant to this Agreement) (such results, information, data, data analyses, reports, case report forms, adverse event reports, trial records, methods, processes, practices, formulae, instructions, skills, techniques, procedures, experiences, developments, and each Protocol referred to as the “</w:t>
      </w:r>
      <w:r>
        <w:rPr>
          <w:rFonts w:ascii="Arial" w:cs="Arial" w:eastAsia="Arial" w:hAnsi="Arial"/>
          <w:sz w:val="19"/>
          <w:szCs w:val="19"/>
          <w:b w:val="1"/>
          <w:bCs w:val="1"/>
          <w:i w:val="1"/>
          <w:iCs w:val="1"/>
          <w:color w:val="auto"/>
        </w:rPr>
        <w:t>Study Data</w:t>
      </w:r>
      <w:r>
        <w:rPr>
          <w:rFonts w:ascii="Arial" w:cs="Arial" w:eastAsia="Arial" w:hAnsi="Arial"/>
          <w:sz w:val="19"/>
          <w:szCs w:val="19"/>
          <w:color w:val="auto"/>
        </w:rPr>
        <w:t>”). Such records shall fully and properly reflect all work done and results achieved in the performance of the Combined Therapy Trials in sufficient detail and in good scientific manner appropriate for patent and regulatory purposes.</w:t>
      </w:r>
    </w:p>
    <w:p>
      <w:pPr>
        <w:spacing w:after="0" w:line="153" w:lineRule="exact"/>
        <w:rPr>
          <w:sz w:val="20"/>
          <w:szCs w:val="20"/>
          <w:color w:val="auto"/>
        </w:rPr>
      </w:pPr>
    </w:p>
    <w:p>
      <w:pPr>
        <w:jc w:val="both"/>
        <w:ind w:left="1" w:firstLine="648"/>
        <w:spacing w:after="0" w:line="245" w:lineRule="auto"/>
        <w:rPr>
          <w:sz w:val="20"/>
          <w:szCs w:val="20"/>
          <w:color w:val="auto"/>
        </w:rPr>
      </w:pPr>
      <w:r>
        <w:rPr>
          <w:rFonts w:ascii="Arial" w:cs="Arial" w:eastAsia="Arial" w:hAnsi="Arial"/>
          <w:sz w:val="21"/>
          <w:szCs w:val="21"/>
          <w:b w:val="1"/>
          <w:bCs w:val="1"/>
          <w:color w:val="auto"/>
        </w:rPr>
        <w:t xml:space="preserve">8.2 Ownership of Study Data. </w:t>
      </w:r>
      <w:r>
        <w:rPr>
          <w:rFonts w:ascii="Arial" w:cs="Arial" w:eastAsia="Arial" w:hAnsi="Arial"/>
          <w:sz w:val="21"/>
          <w:szCs w:val="21"/>
          <w:color w:val="auto"/>
        </w:rPr>
        <w:t>Nektar shall own the Study Data to the extent that it relates exclusively</w:t>
      </w:r>
      <w:r>
        <w:rPr>
          <w:rFonts w:ascii="Arial" w:cs="Arial" w:eastAsia="Arial" w:hAnsi="Arial"/>
          <w:sz w:val="21"/>
          <w:szCs w:val="21"/>
          <w:b w:val="1"/>
          <w:bCs w:val="1"/>
          <w:color w:val="auto"/>
        </w:rPr>
        <w:t xml:space="preserve"> </w:t>
      </w:r>
      <w:r>
        <w:rPr>
          <w:rFonts w:ascii="Arial" w:cs="Arial" w:eastAsia="Arial" w:hAnsi="Arial"/>
          <w:sz w:val="21"/>
          <w:szCs w:val="21"/>
          <w:color w:val="auto"/>
        </w:rPr>
        <w:t>to the Nektar Compound (“</w:t>
      </w:r>
      <w:r>
        <w:rPr>
          <w:rFonts w:ascii="Arial" w:cs="Arial" w:eastAsia="Arial" w:hAnsi="Arial"/>
          <w:sz w:val="21"/>
          <w:szCs w:val="21"/>
          <w:b w:val="1"/>
          <w:bCs w:val="1"/>
          <w:i w:val="1"/>
          <w:iCs w:val="1"/>
          <w:color w:val="auto"/>
        </w:rPr>
        <w:t>Nektar Study Data</w:t>
      </w:r>
      <w:r>
        <w:rPr>
          <w:rFonts w:ascii="Arial" w:cs="Arial" w:eastAsia="Arial" w:hAnsi="Arial"/>
          <w:sz w:val="21"/>
          <w:szCs w:val="21"/>
          <w:color w:val="auto"/>
        </w:rPr>
        <w:t>”), and BioXcel shall own the Study Data to the extent that it relates exclusively to the BioXcel Compound (“</w:t>
      </w:r>
      <w:r>
        <w:rPr>
          <w:rFonts w:ascii="Arial" w:cs="Arial" w:eastAsia="Arial" w:hAnsi="Arial"/>
          <w:sz w:val="21"/>
          <w:szCs w:val="21"/>
          <w:b w:val="1"/>
          <w:bCs w:val="1"/>
          <w:i w:val="1"/>
          <w:iCs w:val="1"/>
          <w:color w:val="auto"/>
        </w:rPr>
        <w:t>BioXcel Study Data</w:t>
      </w:r>
      <w:r>
        <w:rPr>
          <w:rFonts w:ascii="Arial" w:cs="Arial" w:eastAsia="Arial" w:hAnsi="Arial"/>
          <w:sz w:val="21"/>
          <w:szCs w:val="21"/>
          <w:color w:val="auto"/>
        </w:rPr>
        <w:t>”). Both Parties shall jointly own any Study Data that does not relate exclusively to the BioXcel Compound or the Nektar Compound (“</w:t>
      </w:r>
      <w:r>
        <w:rPr>
          <w:rFonts w:ascii="Arial" w:cs="Arial" w:eastAsia="Arial" w:hAnsi="Arial"/>
          <w:sz w:val="21"/>
          <w:szCs w:val="21"/>
          <w:b w:val="1"/>
          <w:bCs w:val="1"/>
          <w:i w:val="1"/>
          <w:iCs w:val="1"/>
          <w:color w:val="auto"/>
        </w:rPr>
        <w:t>Combined Therapy Study</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Data</w:t>
      </w:r>
      <w:r>
        <w:rPr>
          <w:rFonts w:ascii="Arial" w:cs="Arial" w:eastAsia="Arial" w:hAnsi="Arial"/>
          <w:sz w:val="21"/>
          <w:szCs w:val="21"/>
          <w:color w:val="auto"/>
        </w:rPr>
        <w:t>”). Each Party shall, and does hereby, assign, and shall cause its Affiliates to so assign, to the other Party,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without additional compensation, such right, title and interest in and to any Study Data as is necessary to fully effect the foregoing, and agrees to execute all instruments as may be reasonably necessary to effect same. Nektar shall have the right to disclose the Combined Therapy Study Data to BMS, and BMS shall have the right to use the Combined Therapy Study Data as provided in the SCA;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Nektar shall not disclose any confidential information of the CPI Compound supplier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10" w:name="page111"/>
    <w:bookmarkEnd w:id="110"/>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therewith, including any data, results or information relating solely to the CPI Compound or any pharmacokinetic information relating to the CPI Compound (to be clear, nothing in the foregoing proviso shall prohibit Nektar from disclosing the Combined Therapy Study Data to BMS on the terms provided herein).</w:t>
      </w:r>
    </w:p>
    <w:p>
      <w:pPr>
        <w:spacing w:after="0" w:line="128"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Use of Study Data</w:t>
      </w:r>
      <w:r>
        <w:rPr>
          <w:rFonts w:ascii="Arial" w:cs="Arial" w:eastAsia="Arial" w:hAnsi="Arial"/>
          <w:sz w:val="19"/>
          <w:szCs w:val="19"/>
          <w:color w:val="auto"/>
        </w:rPr>
        <w:t>.</w:t>
      </w:r>
    </w:p>
    <w:p>
      <w:pPr>
        <w:spacing w:after="0" w:line="206" w:lineRule="exact"/>
        <w:rPr>
          <w:sz w:val="20"/>
          <w:szCs w:val="20"/>
          <w:color w:val="auto"/>
        </w:rPr>
      </w:pPr>
    </w:p>
    <w:p>
      <w:pPr>
        <w:ind w:firstLine="1296"/>
        <w:spacing w:after="0" w:line="256" w:lineRule="auto"/>
        <w:tabs>
          <w:tab w:leader="none" w:pos="1904"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a Party’s Own Study Data. </w:t>
      </w:r>
      <w:r>
        <w:rPr>
          <w:rFonts w:ascii="Arial" w:cs="Arial" w:eastAsia="Arial" w:hAnsi="Arial"/>
          <w:sz w:val="22"/>
          <w:szCs w:val="22"/>
          <w:color w:val="auto"/>
        </w:rPr>
        <w:t>Each Party may use and analyze its own Study Data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purpose without obligation or accounting to the other.</w:t>
      </w:r>
    </w:p>
    <w:p>
      <w:pPr>
        <w:spacing w:after="0" w:line="162" w:lineRule="exact"/>
        <w:rPr>
          <w:rFonts w:ascii="Arial" w:cs="Arial" w:eastAsia="Arial" w:hAnsi="Arial"/>
          <w:sz w:val="22"/>
          <w:szCs w:val="22"/>
          <w:b w:val="1"/>
          <w:bCs w:val="1"/>
          <w:color w:val="auto"/>
        </w:rPr>
      </w:pPr>
    </w:p>
    <w:p>
      <w:pPr>
        <w:jc w:val="both"/>
        <w:ind w:firstLine="1296"/>
        <w:spacing w:after="0" w:line="270" w:lineRule="auto"/>
        <w:tabs>
          <w:tab w:leader="none" w:pos="1977"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Combined Therapy Study Data by Nektar. </w:t>
      </w:r>
      <w:r>
        <w:rPr>
          <w:rFonts w:ascii="Arial" w:cs="Arial" w:eastAsia="Arial" w:hAnsi="Arial"/>
          <w:sz w:val="19"/>
          <w:szCs w:val="19"/>
          <w:color w:val="auto"/>
        </w:rPr>
        <w:t>Nektar and its Affiliates and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their respective (sub)licensees shall have the right to use and analyze the Combined Therapy Study Data (x) in connection with its independent development, commercialization or other exploitation of the Nektar Compound (alone or in combination with other compounds) and/or for inclusion in the safety database for the Nektar Compound, as applicable, in each case without the consent of, or any obligation to account to, BioXcel, and (y) to conduct studies with Samples pursuant to Section 8.5. Subject to Section 8.5, the results of all such analyses or uses shall be owned by Nektar, including any intellectual property arising out of same, unless the Parties shall have agreed otherwise in writing. Nektar, its Affiliates and licensees shall also be entitled to use the Combined Therapy Study Data during and following the Term to (1) make regulatory filings and seek approvals for the Nektar Compound, either alone or in combination with other compounds and (2) to promote indications based on, and to disseminate, the Combined Therapy Study Data for the benefit of the Nektar Compound, either alone or as part of the Combined Therapy, where permitted by and in accordance with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the foregoing is intended or shall be construed as granting Nektar any right or license, expressly or impliedly, to make, have made, use, sell, offer for sale, or import the BioXcel Compound. BioXcel grants Nektar, its Affiliates and licensees of the Nektar Compound an irrevocable Right of Cross-Reference to the relevant Regulatory Documentation Controlled by BioXcel for the BioXcel Compound or the Combined Therapy to the extent necessary for Nektar, its Affiliates and licensees of the Nektar Compound to exercise the rights under clause (1) and clause (2) of this Section 8.3(b), which right shall survive any expiration or termination of this Agreement. If requested by Nektar in writing, BioXcel (or if applicable a BioXcel Affiliate or Third Party collaborator) shall provide Nektar with a signed statement, in form and content reasonably acceptable to Nektar, confirming the rights of Nektar, its Affiliates and licensees of the Nektar Compound to exercise the Right of Cross-Reference to Regulatory Documentation Controlled by BioXcel, BioXcel Affiliates and their Third Party collaborators as provided in this Section 8.3(b).</w:t>
      </w:r>
    </w:p>
    <w:p>
      <w:pPr>
        <w:spacing w:after="0" w:line="399" w:lineRule="exact"/>
        <w:rPr>
          <w:rFonts w:ascii="Arial" w:cs="Arial" w:eastAsia="Arial" w:hAnsi="Arial"/>
          <w:sz w:val="19"/>
          <w:szCs w:val="19"/>
          <w:b w:val="1"/>
          <w:bCs w:val="1"/>
          <w:color w:val="auto"/>
        </w:rPr>
      </w:pPr>
    </w:p>
    <w:p>
      <w:pPr>
        <w:jc w:val="both"/>
        <w:ind w:firstLine="1296"/>
        <w:spacing w:after="0" w:line="236" w:lineRule="auto"/>
        <w:tabs>
          <w:tab w:leader="none" w:pos="1997"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Combined Therapy Study Data by BioXcel. </w:t>
      </w:r>
      <w:r>
        <w:rPr>
          <w:rFonts w:ascii="Arial" w:cs="Arial" w:eastAsia="Arial" w:hAnsi="Arial"/>
          <w:sz w:val="22"/>
          <w:szCs w:val="22"/>
          <w:color w:val="auto"/>
        </w:rPr>
        <w:t>BioXcel its Affiliates and each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and their respective (sub)licensees shall have the right to use and analyze the Combined Therapy Study Data (x) in connection with its independent development, commercialization or other exploitation of the BioXcel Compound (alone or in combination with other compounds) and/or for inclusion in the safety database for the BioXcel Compound, in each case without the consent of, or any obligation to account to, Nektar and (y) to conduct studies with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1" w:name="page112"/>
    <w:bookmarkEnd w:id="111"/>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Samples pursuant to Section 8.5. Subject to Section 8.5, the results of all such analyses or uses shall be owned by BioXcel, including any intellectual property arising out of same, unless the Parties shall have agreed otherwise in writing. BioXcel, its Affiliates and licensees shall be entitled to use the Combined Therapy Study Data during and following the Term to (1) make regulatory filings and seek approvals for the BioXcel Compound, either alone or in combination with other compounds and (2) to promote indications based on, and to disseminate, the Combined Therapy Study Data for the benefit of the BioXcel Compound, either alone or as part of the Combined Therapy, where permitted by and in accordance with Applicable Law;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the foregoing is intended or shall be construed as granting BioXcel any right or license, expressly or impliedly, to make, have made, use, sell, offer for sale, or import the Nektar Compound. Nektar grants BioXcel, its Affiliates and licensees of the BioXcel Compound an irrevocable Right of Cross-Reference to the relevant Regulatory Documentation Controlled by Nektar for the Nektar Compound to the extent necessary for BioXcel, its Affiliates and licensees of the BioXcel Compound to exercise the rights under clause (1) and clause (2) of this Section 8.3(c), which right shall survive any expiration or termination of this Agreement. If requested by BioXcel in writing, Nektar (or if applicable a Nektar Affiliate or Third Party collaborator) shall provide BioXcel with a signed statement, in form and content reasonably acceptable to BioXcel, confirming the rights of BioXcel, its Affiliates and licensees of the BioXcel Compound to exercise the Right of Cross-Reference to Regulatory Documentation Controlled by Nektar, Nektar Affiliates and their Third Party collaborators as provided in this Section 8.3(c).</w:t>
      </w:r>
    </w:p>
    <w:p>
      <w:pPr>
        <w:spacing w:after="0" w:line="164" w:lineRule="exact"/>
        <w:rPr>
          <w:sz w:val="20"/>
          <w:szCs w:val="20"/>
          <w:color w:val="auto"/>
        </w:rPr>
      </w:pPr>
    </w:p>
    <w:p>
      <w:pPr>
        <w:jc w:val="both"/>
        <w:ind w:firstLine="1296"/>
        <w:spacing w:after="0" w:line="248" w:lineRule="auto"/>
        <w:tabs>
          <w:tab w:leader="none" w:pos="1981"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Biomarker/Diagnostic Agent Development. </w:t>
      </w:r>
      <w:r>
        <w:rPr>
          <w:rFonts w:ascii="Arial" w:cs="Arial" w:eastAsia="Arial" w:hAnsi="Arial"/>
          <w:sz w:val="21"/>
          <w:szCs w:val="21"/>
          <w:color w:val="auto"/>
        </w:rPr>
        <w:t>Each Party may use and disclose to a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the Combined Therapy Study Data and its Compound’s Study Data, under obligations of confidentiality consistent with this Agreement, to develop and commercialize a biomarker or diagnostic test for use with its Compound and/or the Combined Therapy, and, unless otherwise mutually agreed by the Parties in writing, will own any intellectual property arising out of the work funded or conducted by it with or through such Third Party. The Parties will discuss in good faith any opportunities to jointly participate in the development of any such biomarker or diagnostic test for use with the Combined Therapy.</w:t>
      </w:r>
    </w:p>
    <w:p>
      <w:pPr>
        <w:spacing w:after="0" w:line="171" w:lineRule="exact"/>
        <w:rPr>
          <w:rFonts w:ascii="Arial" w:cs="Arial" w:eastAsia="Arial" w:hAnsi="Arial"/>
          <w:sz w:val="21"/>
          <w:szCs w:val="21"/>
          <w:b w:val="1"/>
          <w:bCs w:val="1"/>
          <w:color w:val="auto"/>
        </w:rPr>
      </w:pPr>
    </w:p>
    <w:p>
      <w:pPr>
        <w:jc w:val="both"/>
        <w:ind w:firstLine="1296"/>
        <w:spacing w:after="0" w:line="243" w:lineRule="auto"/>
        <w:tabs>
          <w:tab w:leader="none" w:pos="2009"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Other Uses. </w:t>
      </w:r>
      <w:r>
        <w:rPr>
          <w:rFonts w:ascii="Arial" w:cs="Arial" w:eastAsia="Arial" w:hAnsi="Arial"/>
          <w:sz w:val="22"/>
          <w:szCs w:val="22"/>
          <w:color w:val="auto"/>
        </w:rPr>
        <w:t>All other uses of Study Data are limited solely to those permitted by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neither Party may use Study Data for any other purpose without the written consent of the other Party during and after the Term of this Agreement.</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8.4 Access to Study Data. </w:t>
      </w:r>
      <w:r>
        <w:rPr>
          <w:rFonts w:ascii="Arial" w:cs="Arial" w:eastAsia="Arial" w:hAnsi="Arial"/>
          <w:sz w:val="22"/>
          <w:szCs w:val="22"/>
          <w:color w:val="auto"/>
        </w:rPr>
        <w:t>Subject to the provisions of Sections 2.2, 5.1(a)(xvi) and 5.1(a)(xvii),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and BMS shall have access to all Combined Therapy Study Data (including de-identified patient records) as soon as reasonably practicable after such Study Data is reasonably available to or generated by the Party responsible for generating or collecting such Study Data.</w:t>
      </w:r>
    </w:p>
    <w:p>
      <w:pPr>
        <w:spacing w:after="0" w:line="18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8.5 Samples. </w:t>
      </w:r>
      <w:r>
        <w:rPr>
          <w:rFonts w:ascii="Arial" w:cs="Arial" w:eastAsia="Arial" w:hAnsi="Arial"/>
          <w:sz w:val="22"/>
          <w:szCs w:val="22"/>
          <w:color w:val="auto"/>
        </w:rPr>
        <w:t>Samples collected in the course of activities conducted under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jointly owned by the Parties (to the extent not owned by the patient and/or the clinical trial site). Any such Samples shall be collected in accordance with the applicable Protocol and ICFs. Neither Party shall be permitted to use such Samples for any purpose without the prior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2" w:name="page113"/>
    <w:bookmarkEnd w:id="11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written consent of the other Party, which consent shall not be unreasonably withheld if such use is directed to the Combined Therapy and with the terms of such use to be set forth in a written agreement between the Parties setting forth the Samples to be used, and any appropriate terms/restrictions on such use. Any data and intellectual property arising out of such Sample use shall be owned by the Party conducting such study using same;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to the extent that any such data or intellectual property relates solely to the Combined Therapy (or biomarkers solely for use with the Combined Therapy), such data or intellectual property shall be considered Combined Therapy Study Data or Combined Therapy Trial Inventions/Combined Therapy Patent Rights, as the case may be. Samples for PK and ADA serum analysis will be stored for future use in BioXcel’s sample repository (with the expectation that Nektar will store, at its own expense, those samples that it expects to use in studies),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Party holding the Samples determines that it no longer has a use for the Samples and the other Party determines that it does, then the Samples shall, subject to Applicable Law and the terms of the signed ICFs, be transferred to the other Party and may be used solely thereafter by the other Party. If neither Party has any further use for the Samples, then the remaining Samples will be destroyed pursuant to the respective Party’s standard operating procedures for sample retention and destruction, subject to the terms of and permission(s) granted in the ICFs by the subjects contributing the Samples in the Combined Therapy Trials. All Third Party Study Costs for collecting, testing and storing the Samples will be split between the Parties in accordance with Sections 7.1 and 7.2, except as otherwise noted in this Section 8.5.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Nondisclosure of Confidential Information</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71" w:lineRule="auto"/>
        <w:tabs>
          <w:tab w:leader="none" w:pos="2048"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Prior to the Effective Date of this Agreement, BioXcel and Nektar entered into a certain Mutual Confidentiality Agreement dated July 27, 2016, as amended July 18, 2018 (“</w:t>
      </w:r>
      <w:r>
        <w:rPr>
          <w:rFonts w:ascii="Arial" w:cs="Arial" w:eastAsia="Arial" w:hAnsi="Arial"/>
          <w:sz w:val="19"/>
          <w:szCs w:val="19"/>
          <w:b w:val="1"/>
          <w:bCs w:val="1"/>
          <w:i w:val="1"/>
          <w:iCs w:val="1"/>
          <w:color w:val="auto"/>
        </w:rPr>
        <w:t>CDA</w:t>
      </w:r>
      <w:r>
        <w:rPr>
          <w:rFonts w:ascii="Arial" w:cs="Arial" w:eastAsia="Arial" w:hAnsi="Arial"/>
          <w:sz w:val="19"/>
          <w:szCs w:val="19"/>
          <w:color w:val="auto"/>
        </w:rPr>
        <w:t>”). As it relates to disclosures involving BXCL701 and NKTR-214 only, the CDA is hereby terminated and replaced by the terms of this Agreement. Any Confidential Information relating thereto previously disclosed by the Parties pursuant to the CDA shall now be Confidential Information for purposes of this Agreement and the Parties shall treat it as such in accordance with the terms hereof. All written, visual, oral and electronic data, information, know-how or other proprietary information or materials, both technical and non-technical, disclosed by one Party (the “</w:t>
      </w:r>
      <w:r>
        <w:rPr>
          <w:rFonts w:ascii="Arial" w:cs="Arial" w:eastAsia="Arial" w:hAnsi="Arial"/>
          <w:sz w:val="19"/>
          <w:szCs w:val="19"/>
          <w:b w:val="1"/>
          <w:bCs w:val="1"/>
          <w:i w:val="1"/>
          <w:iCs w:val="1"/>
          <w:color w:val="auto"/>
        </w:rPr>
        <w:t>Disclosing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to any other Party (the “</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pursuant to this Agreement that (a) if in tangible form, is labeled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writing as “proprietary” or “confidential” (or similar reference); or (b) if in oral or visual form, is identified as proprietary or confidential or for internal use only at the time of disclosure or within thirty (30) calendar days thereafter shall be “</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of the Disclosing Party, and all Study Data and Collaboration Inventions shall be the Confidential Information of the Party owning such Study Data or Collaboration Invention (as provided in Section 8.2 with regard to Study Data and Section 6.1 with regard to Collaboration Inventions). For purposes of this Agreement, regardless of which Party discloses such Confidential Information to the other, (i) all BioXcel Study Inventions, BioXcel Technology and BioXcel</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3" w:name="page114"/>
    <w:bookmarkEnd w:id="113"/>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Regulatory Documentation shall be Confidential Information of BioXcel and Nektar shall be deemed the Receiving Party, (ii) all Nektar Study Inventions, Nektar Technology, and Nektar Regulatory Documentation shall be Confidential Information of Nektar and BioXcel shall be deemed the Receiving Party, and (iii) all Combined Therapy Inventions, Combined Therapy Study Data and Combined Therapy Trial Regulatory Documentation shall be Confidential Information of each Party.</w:t>
      </w:r>
    </w:p>
    <w:p>
      <w:pPr>
        <w:spacing w:after="0" w:line="188" w:lineRule="exact"/>
        <w:rPr>
          <w:sz w:val="20"/>
          <w:szCs w:val="20"/>
          <w:color w:val="auto"/>
        </w:rPr>
      </w:pPr>
    </w:p>
    <w:p>
      <w:pPr>
        <w:jc w:val="both"/>
        <w:ind w:firstLine="1296"/>
        <w:spacing w:after="0" w:line="273" w:lineRule="auto"/>
        <w:tabs>
          <w:tab w:leader="none" w:pos="1993"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Except to the extent expressly authorized in this Section 9.1 and Sections 9.2, 9.3 and 9.5 below, or as otherwise agreed in writing by the Parties, each Party agrees that, for the Term and for a period of [***] ([***]) years thereafter (or for any Confidential Information that is identified in writing at the time of disclosure as a trade secret related to each Party’s Compound, for as long as it is not part of the public domain), it shall (x) keep confidential and shall not publish or otherwise disclose and shall not use for any purpose other than as expressly provided for in this Agreement any Confidential Information owned by the Disclosing Party, (y) treat the Disclosing Party’s Confidential Information with the same degree of care the Receiving Party uses for its own confidential information but in no event with less than a reasonable degree of care; and (z) reproduce the Disclosing Party’s Confidential Information solely to the extent necessary to accomplish the Receiving Party’s obligations under this Agreement, with all such reproductions being considered the Disclosing Party’s Confidential Information.</w:t>
      </w:r>
    </w:p>
    <w:p>
      <w:pPr>
        <w:spacing w:after="0" w:line="161" w:lineRule="exact"/>
        <w:rPr>
          <w:rFonts w:ascii="Arial" w:cs="Arial" w:eastAsia="Arial" w:hAnsi="Arial"/>
          <w:sz w:val="19"/>
          <w:szCs w:val="19"/>
          <w:b w:val="1"/>
          <w:bCs w:val="1"/>
          <w:color w:val="auto"/>
        </w:rPr>
      </w:pPr>
    </w:p>
    <w:p>
      <w:pPr>
        <w:jc w:val="both"/>
        <w:ind w:firstLine="1296"/>
        <w:spacing w:after="0" w:line="271" w:lineRule="auto"/>
        <w:tabs>
          <w:tab w:leader="none" w:pos="1995"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anything to the contrary in this Section 9.1, and subject to Section 8.3, the Receiving Party may disclose the Disclosing Party’s Confidential Information to its employees, consultants, agents or permitted sublicensees solely on a need-to-know basis for the purpose of fulfilling the Receiving Party’s obligations under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(1) any such employees, consultants, agents or permitted sublicensees are bound by obligations of confidentiality at least as restrictive as those set forth in this Agreement, and (2) the Receiving Party remains liable for the compliance of such employees, consultants, agents or permitted sublicensees with such obligations. Each Receiving Party acknowledges that in connection with its and its representatives examination of the Confidential Information of the Disclosing Party, the Receiving Party and its representatives may have access to material, non-public information, and that the Receiving Party is aware, and will advise its representatives who are informed as to the matters that are the subject of this Agreement, that State and Federal laws, including United States securities laws, impose restrictions on the dissemination of such information and trading in securities when in possession of such information. Each Receiving Party agrees that it will not, and will advise its representatives who are informed as to the matters that are the subject of this Agreement to not, purchase or sell any security of the Disclosing Party on the basis of the Confidential Information to the extent such Confidential Information constitutes material non-public information about the Disclosing Party or such security.</w:t>
      </w:r>
    </w:p>
    <w:p>
      <w:pPr>
        <w:spacing w:after="0" w:line="15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9.2 Exceptions. </w:t>
      </w:r>
      <w:r>
        <w:rPr>
          <w:rFonts w:ascii="Arial" w:cs="Arial" w:eastAsia="Arial" w:hAnsi="Arial"/>
          <w:sz w:val="22"/>
          <w:szCs w:val="22"/>
          <w:color w:val="auto"/>
        </w:rPr>
        <w:t>The obligations in Section 9.1 shall not apply with respect to any portion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 Information that the Receiving Party can demonstrate by contemporaneous tangible records or other competent proof:</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4" w:name="page115"/>
    <w:bookmarkEnd w:id="114"/>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firstLine="1296"/>
        <w:spacing w:after="0"/>
        <w:tabs>
          <w:tab w:leader="none" w:pos="190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its Affiliates), other than under an obligation of confidentiality, either (i) at the time of disclosure by the Disclosing Party, or (ii) if applicable, at the time that it was generated hereunder, whichever ((i) or (ii)) is earlier;</w:t>
      </w:r>
    </w:p>
    <w:p>
      <w:pPr>
        <w:spacing w:after="0" w:line="186" w:lineRule="exact"/>
        <w:rPr>
          <w:rFonts w:ascii="Arial" w:cs="Arial" w:eastAsia="Arial" w:hAnsi="Arial"/>
          <w:sz w:val="22"/>
          <w:szCs w:val="22"/>
          <w:b w:val="1"/>
          <w:bCs w:val="1"/>
          <w:color w:val="auto"/>
        </w:rPr>
      </w:pPr>
    </w:p>
    <w:p>
      <w:pPr>
        <w:jc w:val="both"/>
        <w:ind w:firstLine="1296"/>
        <w:spacing w:after="0"/>
        <w:tabs>
          <w:tab w:leader="none" w:pos="1966"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was generally available to the public or otherwise part of the public domain either (i) at the time of its disclosure to the Receiving Party, or (ii) if applicable, at the time that it was generated hereunder, whichever ((i) or (ii)) is earlier;</w:t>
      </w:r>
    </w:p>
    <w:p>
      <w:pPr>
        <w:spacing w:after="0" w:line="186" w:lineRule="exact"/>
        <w:rPr>
          <w:rFonts w:ascii="Arial" w:cs="Arial" w:eastAsia="Arial" w:hAnsi="Arial"/>
          <w:sz w:val="22"/>
          <w:szCs w:val="22"/>
          <w:b w:val="1"/>
          <w:bCs w:val="1"/>
          <w:color w:val="auto"/>
        </w:rPr>
      </w:pPr>
    </w:p>
    <w:p>
      <w:pPr>
        <w:ind w:firstLine="1296"/>
        <w:spacing w:after="0" w:line="328" w:lineRule="auto"/>
        <w:tabs>
          <w:tab w:leader="none" w:pos="2104"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became generally available to the public or otherwise part of the public domain after its disclosure and other than through any act or omission of the Receiving Party in breach of this Agreement;</w:t>
      </w:r>
    </w:p>
    <w:p>
      <w:pPr>
        <w:spacing w:after="0" w:line="105" w:lineRule="exact"/>
        <w:rPr>
          <w:rFonts w:ascii="Arial" w:cs="Arial" w:eastAsia="Arial" w:hAnsi="Arial"/>
          <w:sz w:val="19"/>
          <w:szCs w:val="19"/>
          <w:b w:val="1"/>
          <w:bCs w:val="1"/>
          <w:color w:val="auto"/>
        </w:rPr>
      </w:pPr>
    </w:p>
    <w:p>
      <w:pPr>
        <w:jc w:val="both"/>
        <w:ind w:firstLine="1296"/>
        <w:spacing w:after="0"/>
        <w:tabs>
          <w:tab w:leader="none" w:pos="2047"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was disclosed to the Receiving Party (or its Affiliates), other than under an obligation of confidentiality, by a Third Party who had no obligation to the Party owning or Controlling the information not to disclose such information to others; or</w:t>
      </w:r>
    </w:p>
    <w:p>
      <w:pPr>
        <w:spacing w:after="0" w:line="186" w:lineRule="exact"/>
        <w:rPr>
          <w:rFonts w:ascii="Arial" w:cs="Arial" w:eastAsia="Arial" w:hAnsi="Arial"/>
          <w:sz w:val="22"/>
          <w:szCs w:val="22"/>
          <w:b w:val="1"/>
          <w:bCs w:val="1"/>
          <w:color w:val="auto"/>
        </w:rPr>
      </w:pPr>
    </w:p>
    <w:p>
      <w:pPr>
        <w:ind w:firstLine="1296"/>
        <w:spacing w:after="0" w:line="274" w:lineRule="auto"/>
        <w:tabs>
          <w:tab w:leader="none" w:pos="1955" w:val="left"/>
        </w:tabs>
        <w:numPr>
          <w:ilvl w:val="0"/>
          <w:numId w:val="99"/>
        </w:numPr>
        <w:rPr>
          <w:rFonts w:ascii="Arial" w:cs="Arial" w:eastAsia="Arial" w:hAnsi="Arial"/>
          <w:sz w:val="21"/>
          <w:szCs w:val="21"/>
          <w:b w:val="1"/>
          <w:bCs w:val="1"/>
          <w:color w:val="auto"/>
        </w:rPr>
      </w:pPr>
      <w:r>
        <w:rPr>
          <w:rFonts w:ascii="Arial" w:cs="Arial" w:eastAsia="Arial" w:hAnsi="Arial"/>
          <w:sz w:val="21"/>
          <w:szCs w:val="21"/>
          <w:color w:val="auto"/>
        </w:rPr>
        <w:t>was independently discovered or developed by the Receiving Party (or its Affiliates) without the use of or reference to the Confidential Information belonging to the Disclosing Party.</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9.3 Authorized Disclosure. </w:t>
      </w:r>
      <w:r>
        <w:rPr>
          <w:rFonts w:ascii="Arial" w:cs="Arial" w:eastAsia="Arial" w:hAnsi="Arial"/>
          <w:sz w:val="22"/>
          <w:szCs w:val="22"/>
          <w:color w:val="auto"/>
        </w:rPr>
        <w:t>Notwithstanding any other provision of this Agreement, each Party may</w:t>
      </w:r>
      <w:r>
        <w:rPr>
          <w:rFonts w:ascii="Arial" w:cs="Arial" w:eastAsia="Arial" w:hAnsi="Arial"/>
          <w:sz w:val="22"/>
          <w:szCs w:val="22"/>
          <w:b w:val="1"/>
          <w:bCs w:val="1"/>
          <w:color w:val="auto"/>
        </w:rPr>
        <w:t xml:space="preserve"> </w:t>
      </w:r>
      <w:r>
        <w:rPr>
          <w:rFonts w:ascii="Arial" w:cs="Arial" w:eastAsia="Arial" w:hAnsi="Arial"/>
          <w:sz w:val="22"/>
          <w:szCs w:val="22"/>
          <w:color w:val="auto"/>
        </w:rPr>
        <w:t>disclose Confidential Information solely owned by the other Party to the extent such disclosure is reasonably necessary in the following instances:</w:t>
      </w:r>
    </w:p>
    <w:p>
      <w:pPr>
        <w:spacing w:after="0" w:line="183" w:lineRule="exact"/>
        <w:rPr>
          <w:sz w:val="20"/>
          <w:szCs w:val="20"/>
          <w:color w:val="auto"/>
        </w:rPr>
      </w:pPr>
    </w:p>
    <w:p>
      <w:pPr>
        <w:ind w:left="1880" w:hanging="584"/>
        <w:spacing w:after="0"/>
        <w:tabs>
          <w:tab w:leader="none" w:pos="1880"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filing or prosecuting Patent Rights;</w:t>
      </w:r>
    </w:p>
    <w:p>
      <w:pPr>
        <w:spacing w:after="0" w:line="206" w:lineRule="exact"/>
        <w:rPr>
          <w:rFonts w:ascii="Arial" w:cs="Arial" w:eastAsia="Arial" w:hAnsi="Arial"/>
          <w:sz w:val="22"/>
          <w:szCs w:val="22"/>
          <w:b w:val="1"/>
          <w:bCs w:val="1"/>
          <w:color w:val="auto"/>
        </w:rPr>
      </w:pPr>
    </w:p>
    <w:p>
      <w:pPr>
        <w:ind w:left="1880" w:hanging="584"/>
        <w:spacing w:after="0"/>
        <w:tabs>
          <w:tab w:leader="none" w:pos="1880"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prosecuting or defending litigation;</w:t>
      </w:r>
    </w:p>
    <w:p>
      <w:pPr>
        <w:spacing w:after="0" w:line="206" w:lineRule="exact"/>
        <w:rPr>
          <w:rFonts w:ascii="Arial" w:cs="Arial" w:eastAsia="Arial" w:hAnsi="Arial"/>
          <w:sz w:val="22"/>
          <w:szCs w:val="22"/>
          <w:b w:val="1"/>
          <w:bCs w:val="1"/>
          <w:color w:val="auto"/>
        </w:rPr>
      </w:pPr>
    </w:p>
    <w:p>
      <w:pPr>
        <w:ind w:firstLine="1296"/>
        <w:spacing w:after="0" w:line="251" w:lineRule="auto"/>
        <w:tabs>
          <w:tab w:leader="none" w:pos="2077"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complying with Applicable Law or the rules or regulations of any securities exchange on which such Party’s stock is listed;</w:t>
      </w:r>
    </w:p>
    <w:p>
      <w:pPr>
        <w:spacing w:after="0" w:line="173" w:lineRule="exact"/>
        <w:rPr>
          <w:rFonts w:ascii="Arial" w:cs="Arial" w:eastAsia="Arial" w:hAnsi="Arial"/>
          <w:sz w:val="22"/>
          <w:szCs w:val="22"/>
          <w:b w:val="1"/>
          <w:bCs w:val="1"/>
          <w:color w:val="auto"/>
        </w:rPr>
      </w:pPr>
    </w:p>
    <w:p>
      <w:pPr>
        <w:jc w:val="both"/>
        <w:ind w:firstLine="1296"/>
        <w:spacing w:after="0" w:line="235" w:lineRule="auto"/>
        <w:tabs>
          <w:tab w:leader="none" w:pos="2033"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disclosure, in connection with the performance of this Agreement, to Affiliates, permitted sublicensees, contractors, ethics committees and institutional review boards (collectively, “</w:t>
      </w:r>
      <w:r>
        <w:rPr>
          <w:rFonts w:ascii="Arial" w:cs="Arial" w:eastAsia="Arial" w:hAnsi="Arial"/>
          <w:sz w:val="22"/>
          <w:szCs w:val="22"/>
          <w:b w:val="1"/>
          <w:bCs w:val="1"/>
          <w:i w:val="1"/>
          <w:iCs w:val="1"/>
          <w:color w:val="auto"/>
        </w:rPr>
        <w:t>IRBs</w:t>
      </w:r>
      <w:r>
        <w:rPr>
          <w:rFonts w:ascii="Arial" w:cs="Arial" w:eastAsia="Arial" w:hAnsi="Arial"/>
          <w:sz w:val="22"/>
          <w:szCs w:val="22"/>
          <w:color w:val="auto"/>
        </w:rPr>
        <w:t>”), CROs, academic institutions, consultants, agents, investigators, and employees and contractors engaged by study sites and investigators involved with the Combined Therapy Trials, each of whom, subject to Section 2.6(d), prior to disclosure must be bound by similar terms of confidentiality and non-use at least equivalent in scope to those set forth in this Article 9;</w:t>
      </w:r>
    </w:p>
    <w:p>
      <w:pPr>
        <w:spacing w:after="0" w:line="188" w:lineRule="exact"/>
        <w:rPr>
          <w:rFonts w:ascii="Arial" w:cs="Arial" w:eastAsia="Arial" w:hAnsi="Arial"/>
          <w:sz w:val="22"/>
          <w:szCs w:val="22"/>
          <w:b w:val="1"/>
          <w:bCs w:val="1"/>
          <w:color w:val="auto"/>
        </w:rPr>
      </w:pPr>
    </w:p>
    <w:p>
      <w:pPr>
        <w:jc w:val="both"/>
        <w:ind w:firstLine="1296"/>
        <w:spacing w:after="0" w:line="238" w:lineRule="auto"/>
        <w:tabs>
          <w:tab w:leader="none" w:pos="1941"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disclosure that is deemed necessary by either Party to be disclosed to its respective Affiliates, agents, consultants or actual or prospective licensees (or other bona fide collaborators) in furtherance of the development, manufacture and/or commercialization of such Party’s Compound, on the condition that such Third Parties agree to be bound by confidentiality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5" w:name="page116"/>
    <w:bookmarkEnd w:id="115"/>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and non-use obligations that are substantially consistent with the confidentiality and non-use provisions contained in this Agreement;</w:t>
      </w:r>
    </w:p>
    <w:p>
      <w:pPr>
        <w:spacing w:after="0" w:line="173" w:lineRule="exact"/>
        <w:rPr>
          <w:sz w:val="20"/>
          <w:szCs w:val="20"/>
          <w:color w:val="auto"/>
        </w:rPr>
      </w:pPr>
    </w:p>
    <w:p>
      <w:pPr>
        <w:jc w:val="both"/>
        <w:ind w:firstLine="1296"/>
        <w:spacing w:after="0" w:line="247" w:lineRule="auto"/>
        <w:tabs>
          <w:tab w:leader="none" w:pos="1972" w:val="left"/>
        </w:tabs>
        <w:numPr>
          <w:ilvl w:val="0"/>
          <w:numId w:val="101"/>
        </w:numPr>
        <w:rPr>
          <w:rFonts w:ascii="Arial" w:cs="Arial" w:eastAsia="Arial" w:hAnsi="Arial"/>
          <w:sz w:val="21"/>
          <w:szCs w:val="21"/>
          <w:b w:val="1"/>
          <w:bCs w:val="1"/>
          <w:color w:val="auto"/>
        </w:rPr>
      </w:pPr>
      <w:r>
        <w:rPr>
          <w:rFonts w:ascii="Arial" w:cs="Arial" w:eastAsia="Arial" w:hAnsi="Arial"/>
          <w:sz w:val="21"/>
          <w:szCs w:val="21"/>
          <w:color w:val="auto"/>
        </w:rPr>
        <w:t>disclosure to its attorneys, accountants, auditors and other advisors on a need to know basis provided such individuals or Entities are bound to confidentiality and nondisclosure requirements by professional rules of conduct or nondisclosure agreements, and to actual or prospective acquirers, lenders, financers, or investors as may be necessary to comply with the terms, or in connection with their evaluation, of such potential or actual acquisition, loan, financing, or investment; on the condition that such acquires, lenders, financers, or investors agree to be bound by confidentiality and non-use obligations that are substantially consistent with the confidentiality and non-use provisions contained in this Agreement;</w:t>
      </w:r>
    </w:p>
    <w:p>
      <w:pPr>
        <w:spacing w:after="0" w:line="178" w:lineRule="exact"/>
        <w:rPr>
          <w:rFonts w:ascii="Arial" w:cs="Arial" w:eastAsia="Arial" w:hAnsi="Arial"/>
          <w:sz w:val="21"/>
          <w:szCs w:val="21"/>
          <w:b w:val="1"/>
          <w:bCs w:val="1"/>
          <w:color w:val="auto"/>
        </w:rPr>
      </w:pPr>
    </w:p>
    <w:p>
      <w:pPr>
        <w:jc w:val="both"/>
        <w:ind w:firstLine="1296"/>
        <w:spacing w:after="0"/>
        <w:tabs>
          <w:tab w:leader="none" w:pos="2021"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disclosure of the Combined Therapy Study Data, Combined Therapy Trial Inventions and Combined Therapy Patent Rights to Regulatory Authorities in connection with the development of the Combined Therapy, the BioXcel Compound or the Nektar Compound; and</w:t>
      </w:r>
    </w:p>
    <w:p>
      <w:pPr>
        <w:spacing w:after="0" w:line="186" w:lineRule="exact"/>
        <w:rPr>
          <w:rFonts w:ascii="Arial" w:cs="Arial" w:eastAsia="Arial" w:hAnsi="Arial"/>
          <w:sz w:val="22"/>
          <w:szCs w:val="22"/>
          <w:b w:val="1"/>
          <w:bCs w:val="1"/>
          <w:color w:val="auto"/>
        </w:rPr>
      </w:pPr>
    </w:p>
    <w:p>
      <w:pPr>
        <w:jc w:val="both"/>
        <w:ind w:firstLine="1296"/>
        <w:spacing w:after="0" w:line="234" w:lineRule="auto"/>
        <w:tabs>
          <w:tab w:leader="none" w:pos="1912"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disclosure of relevant safety information contained within the Combined Therapy Study Data to investigators, IRBs/or ethics committees and Regulatory Authorities that are involved in other clinical trials of the BioXcel Compound with respect to BioXcel, and the Nektar Compound with respect to Nektar, and (in the event of a Material Safety Issue) to Third Parties that are collaborating with BioXcel or Nektar, respectively in the conduct of such other clinical trials of the BioXcel Compound or the Nektar Compound, in each case solely to the extent necessary for the conduct of such clinical trials and/or to comply with Applicable Law and regulatory requirements.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Notwithstanding the foregoing, if a Party is required or otherwise intends to make a disclosure of the Disclosing Party’s Confidential Information pursuant to Section 9.3(b) and/or Section 9.3(c), it shall give advance notice to the Disclosing Party of such impending disclosure and endeavor in good faith to secure confidential treatment of such Confidential Information and/or reasonably assist the Party that owns such Confidential Information in seeking a protective order or other confidential treatment.</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9.4 Disclosure to BMS. </w:t>
      </w:r>
      <w:r>
        <w:rPr>
          <w:rFonts w:ascii="Arial" w:cs="Arial" w:eastAsia="Arial" w:hAnsi="Arial"/>
          <w:sz w:val="19"/>
          <w:szCs w:val="19"/>
          <w:color w:val="auto"/>
        </w:rPr>
        <w:t>Notwithstanding anything in this Agreement to the contrary, Nektar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right, subject to the confidentiality provisions of the SCA governing disclosure of Nektar Confidential Information to BMS, to disclose to BMS any Trial Overview, Protocol, budget, Combined Therapy Study Data and all information disclosed to Nektar by BioXcel pursuant to Article 2 and Article 5 for any Combined Therapy Trial,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Nektar shall not disclose any confidential information of the CPI Compound supplier in connection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therewith, including any data, results or information relating solely to the CPI Compound or any pharmacokinetic information relating to the CPI Compound (to be clear, nothing in the foregoing proviso shall prohibit Nektar from disclosing the Combined Therapy Study Data to BMS on the terms provided herein);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Nektar remains liable to BioXcel for any breach by BMS of such confidentiality provisions.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6" w:name="page117"/>
    <w:bookmarkEnd w:id="116"/>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9.5</w:t>
      </w:r>
      <w:r>
        <w:rPr>
          <w:sz w:val="20"/>
          <w:szCs w:val="20"/>
          <w:color w:val="auto"/>
        </w:rPr>
        <w:tab/>
      </w:r>
      <w:r>
        <w:rPr>
          <w:rFonts w:ascii="Arial" w:cs="Arial" w:eastAsia="Arial" w:hAnsi="Arial"/>
          <w:sz w:val="18"/>
          <w:szCs w:val="18"/>
          <w:b w:val="1"/>
          <w:bCs w:val="1"/>
          <w:color w:val="auto"/>
        </w:rPr>
        <w:t>Press Releases and Publications</w:t>
      </w:r>
      <w:r>
        <w:rPr>
          <w:rFonts w:ascii="Arial" w:cs="Arial" w:eastAsia="Arial" w:hAnsi="Arial"/>
          <w:sz w:val="18"/>
          <w:szCs w:val="18"/>
          <w:color w:val="auto"/>
        </w:rPr>
        <w:t>.</w:t>
      </w:r>
    </w:p>
    <w:p>
      <w:pPr>
        <w:spacing w:after="0" w:line="212" w:lineRule="exact"/>
        <w:rPr>
          <w:sz w:val="20"/>
          <w:szCs w:val="20"/>
          <w:color w:val="auto"/>
        </w:rPr>
      </w:pPr>
    </w:p>
    <w:p>
      <w:pPr>
        <w:jc w:val="both"/>
        <w:ind w:firstLine="1296"/>
        <w:spacing w:after="0" w:line="273" w:lineRule="auto"/>
        <w:tabs>
          <w:tab w:leader="none" w:pos="1940"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 xml:space="preserve">The Parties shall jointly agree to the content and timing of all external communications with respect to this Agreement (including an initial press release, the content of which shall be as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subsequent press releases, Q&amp;As, and the content and wording of any listing any Combined Therapy Trial required to be listed on a public database or other public registry such as www.clinicaltrials.gov). For clarity, if either Party terminates this Agreement pursuant to Section 12.4, the Parties shall mutually agree upon any external communication related to such termination, which shall not include the rationale for such termination unless (and to the extent) mutually agreed by the Parties. Notwithstanding any provision of this Agreement to the contrary, each Party shall be permitted to publicly disclose information that such Party determines in good faith is necessary to be disclosed to comply with Applicable Law or the rules or regulations of any securities exchange on which such Party’s stock may be listed, or pursuant to an order of a court or governmental entity.</w:t>
      </w:r>
    </w:p>
    <w:p>
      <w:pPr>
        <w:spacing w:after="0" w:line="161" w:lineRule="exact"/>
        <w:rPr>
          <w:rFonts w:ascii="Arial" w:cs="Arial" w:eastAsia="Arial" w:hAnsi="Arial"/>
          <w:sz w:val="19"/>
          <w:szCs w:val="19"/>
          <w:b w:val="1"/>
          <w:bCs w:val="1"/>
          <w:color w:val="auto"/>
        </w:rPr>
      </w:pPr>
    </w:p>
    <w:p>
      <w:pPr>
        <w:jc w:val="both"/>
        <w:ind w:firstLine="1296"/>
        <w:spacing w:after="0" w:line="269" w:lineRule="auto"/>
        <w:tabs>
          <w:tab w:leader="none" w:pos="1966" w:val="left"/>
        </w:tabs>
        <w:numPr>
          <w:ilvl w:val="0"/>
          <w:numId w:val="102"/>
        </w:numPr>
        <w:rPr>
          <w:rFonts w:ascii="Arial" w:cs="Arial" w:eastAsia="Arial" w:hAnsi="Arial"/>
          <w:sz w:val="19"/>
          <w:szCs w:val="19"/>
          <w:b w:val="1"/>
          <w:bCs w:val="1"/>
          <w:color w:val="auto"/>
        </w:rPr>
      </w:pPr>
      <w:r>
        <w:rPr>
          <w:rFonts w:ascii="Arial" w:cs="Arial" w:eastAsia="Arial" w:hAnsi="Arial"/>
          <w:sz w:val="19"/>
          <w:szCs w:val="19"/>
          <w:color w:val="auto"/>
        </w:rPr>
        <w:t>BioXcel and Nektar agree to collaborate to publicly disclose, publish or present (1) top-line results from each Combined Therapy Trial, limited if possible to avoid jeopardizing the future publication of the Study Data at a scientific conference or in a scientific journal, solely for the purpose of disclosing, as soon as reasonably practicable, the safety or efficacy results and conclusions that are material to either Party under applicable securities laws, and (2) the conclusions and outcomes (the “</w:t>
      </w:r>
      <w:r>
        <w:rPr>
          <w:rFonts w:ascii="Arial" w:cs="Arial" w:eastAsia="Arial" w:hAnsi="Arial"/>
          <w:sz w:val="19"/>
          <w:szCs w:val="19"/>
          <w:b w:val="1"/>
          <w:bCs w:val="1"/>
          <w:i w:val="1"/>
          <w:iCs w:val="1"/>
          <w:color w:val="auto"/>
        </w:rPr>
        <w:t>Results</w:t>
      </w:r>
      <w:r>
        <w:rPr>
          <w:rFonts w:ascii="Arial" w:cs="Arial" w:eastAsia="Arial" w:hAnsi="Arial"/>
          <w:sz w:val="19"/>
          <w:szCs w:val="19"/>
          <w:color w:val="auto"/>
        </w:rPr>
        <w:t>”) of each Combined Therapy Trial at a scientific conference as soon as reasonably practicable following the completion of such Combined Therapy Trial, subject in the case of (2) to the following terms and conditions. The Party proposing to disclose, publish or present the Results shall deliver to the other Party a copy of (i) any abstract or press release at least [***] ([***]) Business Days before submission to a Third Party and (ii) any proposed slide presentation, publication, poster presentation or any other disclosure, publication or presentation at least [***] ([***]) Business Days before submission to a Third Party. The reviewing Party shall determine whether any of its Confidential Information that may be contained in such disclosure, publication or presentation should be modified or deleted, whether to file a patent application on any BioXcel Study Invention (solely with respect to BioXcel) or Nektar Study Invention (solely with respect to Nektar) or Combined Therapy Trial Invention disclosed therein. If practicable, the disclosure, publication or presentation shall be delayed for an additional [***] ([***]) Business Days if the reviewing Party reasonably requests such extension to allow time for the preparation and filing of relevant patent applications. If the reviewing Party reasonably requests modifications to the disclosure, publication or presentation to prevent the disclosure of a material trade secret or proprietary business information, the publishing Party shall edit such publication to prevent the disclosure of such information prior to submission of the disclosure, publication or presentation. In the event of a disagreement as to content, timing and/or venue or forum for any disclosure, publication or presentation of the Results, such dispute (a “</w:t>
      </w:r>
      <w:r>
        <w:rPr>
          <w:rFonts w:ascii="Arial" w:cs="Arial" w:eastAsia="Arial" w:hAnsi="Arial"/>
          <w:sz w:val="19"/>
          <w:szCs w:val="19"/>
          <w:b w:val="1"/>
          <w:bCs w:val="1"/>
          <w:i w:val="1"/>
          <w:iCs w:val="1"/>
          <w:color w:val="auto"/>
        </w:rPr>
        <w:t>Publication Dispute</w:t>
      </w:r>
      <w:r>
        <w:rPr>
          <w:rFonts w:ascii="Arial" w:cs="Arial" w:eastAsia="Arial" w:hAnsi="Arial"/>
          <w:sz w:val="19"/>
          <w:szCs w:val="19"/>
          <w:color w:val="auto"/>
        </w:rPr>
        <w:t xml:space="preserve">”) shall be referred to the Executive Officers (or their respective designees);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in the absence of agreement after such good faith discussions, and upon expiration of the additional [***] ([***]) Business Days (to the extent provided pursuant to the above), (A) academic collaborators engaged by BioXcel in connection with the performance of the Combined Therapy Trials may publish</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7" w:name="page118"/>
    <w:bookmarkEnd w:id="117"/>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Combined Therapy Study Data obtained by such academic collaborator solely to the extent that such ability to publish such Combined Therapy Study Data is set forth in an agreement between BioXcel and such academic collaborator relating to the conduct of Combined Therapy Trials and (B) the publishing Party may proceed with the disclosure, publication or presentation provided that such disclosure, publication or presentation is consistent with its internal publication guidelines and customary industry practices for the publication of similar data. Authorship of any publication shall be determined based on the accepted standards used in peer-reviewed academic journals at the time of the proposed disclosure, publication or presentation. The Parties agree that they shall make reasonable efforts to prevent publication of a press release that could jeopardize the future publication of Study Data at a scientific conference or in a scientific journal but in no way will this or any other provision of this Agreement supersede the requirements of any Applicable Law or the rules or regulations of any securities exchange or listing entity on which a Party’s stock is listed (including any such rule or regulation that may require a Party to make public disclosures about interim or ongoing results of a Combined Therapy Trial). Notwithstanding the foregoing, BioXcel hereby authorizes disclosure to BMS in accordance with Section 9.4 above. Notwithstanding the foregoing, nothing herein shall prevent or restrict BMS from making any disclosures of published Study Data disclosed to it by Nektar pursuant to Section 9.4 or of the existence of this Agreement, in each case in order for BMS to comply with requirements of Applicable Law, the rules or regulations of any securities exchange or listing entity on which its stock may be traded or pursuant to an order of a court or governmental entity to publicly disclose the existence of the Agreement and the Study Data.</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9.6 Destruction of Confidential Information. </w:t>
      </w:r>
      <w:r>
        <w:rPr>
          <w:rFonts w:ascii="Arial" w:cs="Arial" w:eastAsia="Arial" w:hAnsi="Arial"/>
          <w:sz w:val="22"/>
          <w:szCs w:val="22"/>
          <w:color w:val="auto"/>
        </w:rPr>
        <w:t>Upon expiration or termination of the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Receiving Party shall, upon request by the Disclosing Party, immediately destroy or return all of the Disclosing Party’s Confidential Information relating solely to its Compound as monotherapy (but not to the Combined Therapy or the Combined Therapy Study Data) in its possession;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the Receiving Party shall be entitled to retain one (1) copy of Confidential Information solely for record-keeping purposes and shall not be required to destroy any off-site computer files created during automatic system back up which are subsequently stored securely by the Receiving Party.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10.1 Authority and Binding Agreement. </w:t>
      </w:r>
      <w:r>
        <w:rPr>
          <w:rFonts w:ascii="Arial" w:cs="Arial" w:eastAsia="Arial" w:hAnsi="Arial"/>
          <w:sz w:val="19"/>
          <w:szCs w:val="19"/>
          <w:color w:val="auto"/>
        </w:rPr>
        <w:t>BioXcel and Nektar each represents and warrants to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that (a) it has the corporate power and authority and the legal right to enter into this Agreement and perform its obligations hereunder; (b) it has taken all necessary corporate action on its part required to authorize the execution and delivery of the Agreement and the performance of its obligations hereunder; and (c) the Agreement has been duly executed and delivered on behalf of such Party and constitutes a legal, valid and binding obligation of such Party that is enforceable against it in accordance with its terms subject to bankruptcy, insolvency, reorganization, arrangement, winding-up, moratorium, and similar laws of general application affecting the enforcement of creditors’ rights generally, and subject to general equitable principles,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18" w:name="page119"/>
    <w:bookmarkEnd w:id="118"/>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including the fact that the availability of equitable remedies, such as injunctive relief or specific performance, is in the discretion of the court.</w:t>
      </w:r>
    </w:p>
    <w:p>
      <w:pPr>
        <w:spacing w:after="0" w:line="167" w:lineRule="exact"/>
        <w:rPr>
          <w:sz w:val="20"/>
          <w:szCs w:val="20"/>
          <w:color w:val="auto"/>
        </w:rPr>
      </w:pPr>
    </w:p>
    <w:p>
      <w:pPr>
        <w:jc w:val="both"/>
        <w:ind w:left="1" w:firstLine="648"/>
        <w:spacing w:after="0" w:line="284" w:lineRule="auto"/>
        <w:rPr>
          <w:sz w:val="20"/>
          <w:szCs w:val="20"/>
          <w:color w:val="auto"/>
        </w:rPr>
      </w:pPr>
      <w:r>
        <w:rPr>
          <w:rFonts w:ascii="Arial" w:cs="Arial" w:eastAsia="Arial" w:hAnsi="Arial"/>
          <w:sz w:val="19"/>
          <w:szCs w:val="19"/>
          <w:b w:val="1"/>
          <w:bCs w:val="1"/>
          <w:color w:val="auto"/>
        </w:rPr>
        <w:t xml:space="preserve">10.2 No Conflicts. </w:t>
      </w:r>
      <w:r>
        <w:rPr>
          <w:rFonts w:ascii="Arial" w:cs="Arial" w:eastAsia="Arial" w:hAnsi="Arial"/>
          <w:sz w:val="19"/>
          <w:szCs w:val="19"/>
          <w:color w:val="auto"/>
        </w:rPr>
        <w:t>BioXcel and Nektar each represents and warrants that, to the best of its knowledge as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Effective Date, it has not entered, and shall not enter, into any agreement with any Third Party that is in conflict with the rights granted to the other Party under this Agreement, and has not taken any action that would in any way prevent it from granting the rights granted to the other Party under this Agreement, or that would otherwise materially conflict with or materially adversely affect the rights granted to the other Party under this Agreement.</w:t>
      </w:r>
    </w:p>
    <w:p>
      <w:pPr>
        <w:spacing w:after="0" w:line="139" w:lineRule="exact"/>
        <w:rPr>
          <w:sz w:val="20"/>
          <w:szCs w:val="20"/>
          <w:color w:val="auto"/>
        </w:rPr>
      </w:pPr>
    </w:p>
    <w:p>
      <w:pPr>
        <w:jc w:val="both"/>
        <w:ind w:left="1" w:firstLine="648"/>
        <w:spacing w:after="0" w:line="251" w:lineRule="auto"/>
        <w:rPr>
          <w:sz w:val="20"/>
          <w:szCs w:val="20"/>
          <w:color w:val="auto"/>
        </w:rPr>
      </w:pPr>
      <w:r>
        <w:rPr>
          <w:rFonts w:ascii="Arial" w:cs="Arial" w:eastAsia="Arial" w:hAnsi="Arial"/>
          <w:sz w:val="21"/>
          <w:szCs w:val="21"/>
          <w:b w:val="1"/>
          <w:bCs w:val="1"/>
          <w:color w:val="auto"/>
        </w:rPr>
        <w:t xml:space="preserve">10.3 Litigation. </w:t>
      </w:r>
      <w:r>
        <w:rPr>
          <w:rFonts w:ascii="Arial" w:cs="Arial" w:eastAsia="Arial" w:hAnsi="Arial"/>
          <w:sz w:val="21"/>
          <w:szCs w:val="21"/>
          <w:color w:val="auto"/>
        </w:rPr>
        <w:t>BioXcel and Nektar each represents and warrants that, to the best of its knowledge as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Effective Date, it is not aware of any pending or threatened litigation (and has not received any communication) that alleges that its activities related to this Agreement have violated, or that by conducting the activities as contemplated in this Agreement it would violate, any of the intellectual property rights of any other Person (after giving effect to the license grants in this Agreement).</w:t>
      </w:r>
    </w:p>
    <w:p>
      <w:pPr>
        <w:spacing w:after="0" w:line="169"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22"/>
          <w:szCs w:val="22"/>
          <w:b w:val="1"/>
          <w:bCs w:val="1"/>
          <w:color w:val="auto"/>
        </w:rPr>
        <w:t xml:space="preserve">10.4 No Adverse Proceedings. </w:t>
      </w:r>
      <w:r>
        <w:rPr>
          <w:rFonts w:ascii="Arial" w:cs="Arial" w:eastAsia="Arial" w:hAnsi="Arial"/>
          <w:sz w:val="22"/>
          <w:szCs w:val="22"/>
          <w:color w:val="auto"/>
        </w:rPr>
        <w:t>Except as otherwise notified to the other Party, there is not pending or, to</w:t>
      </w:r>
      <w:r>
        <w:rPr>
          <w:rFonts w:ascii="Arial" w:cs="Arial" w:eastAsia="Arial" w:hAnsi="Arial"/>
          <w:sz w:val="22"/>
          <w:szCs w:val="22"/>
          <w:b w:val="1"/>
          <w:bCs w:val="1"/>
          <w:color w:val="auto"/>
        </w:rPr>
        <w:t xml:space="preserve"> </w:t>
      </w:r>
      <w:r>
        <w:rPr>
          <w:rFonts w:ascii="Arial" w:cs="Arial" w:eastAsia="Arial" w:hAnsi="Arial"/>
          <w:sz w:val="22"/>
          <w:szCs w:val="22"/>
          <w:color w:val="auto"/>
        </w:rPr>
        <w:t>the knowledge of such Party as of the Effective Date, threatened, against such Party, any claim, suit, action or governmental proceeding that would, if adversely determined, materially impair the ability of such Party to perform its obligations under this Agreement.</w:t>
      </w:r>
    </w:p>
    <w:p>
      <w:pPr>
        <w:spacing w:after="0" w:line="181" w:lineRule="exact"/>
        <w:rPr>
          <w:sz w:val="20"/>
          <w:szCs w:val="20"/>
          <w:color w:val="auto"/>
        </w:rPr>
      </w:pPr>
    </w:p>
    <w:p>
      <w:pPr>
        <w:jc w:val="both"/>
        <w:ind w:left="1" w:firstLine="648"/>
        <w:spacing w:after="0" w:line="280" w:lineRule="auto"/>
        <w:rPr>
          <w:sz w:val="20"/>
          <w:szCs w:val="20"/>
          <w:color w:val="auto"/>
        </w:rPr>
      </w:pPr>
      <w:r>
        <w:rPr>
          <w:rFonts w:ascii="Arial" w:cs="Arial" w:eastAsia="Arial" w:hAnsi="Arial"/>
          <w:sz w:val="19"/>
          <w:szCs w:val="19"/>
          <w:b w:val="1"/>
          <w:bCs w:val="1"/>
          <w:color w:val="auto"/>
        </w:rPr>
        <w:t xml:space="preserve">10.5 Consents. </w:t>
      </w:r>
      <w:r>
        <w:rPr>
          <w:rFonts w:ascii="Arial" w:cs="Arial" w:eastAsia="Arial" w:hAnsi="Arial"/>
          <w:sz w:val="19"/>
          <w:szCs w:val="19"/>
          <w:color w:val="auto"/>
        </w:rPr>
        <w:t>BioXcel and Nektar each represents and warrants that, to the best of its knowledge, all</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consents, approvals and authorizations of all regulatory and governmental authorities and other Persons</w:t>
      </w:r>
    </w:p>
    <w:p>
      <w:pPr>
        <w:jc w:val="both"/>
        <w:ind w:left="1" w:hanging="1"/>
        <w:spacing w:after="0" w:line="233" w:lineRule="auto"/>
        <w:tabs>
          <w:tab w:leader="none" w:pos="2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required to be obtained by such Party in connection with the execution and delivery of this Agreement have been obtained (or will have been obtained prior to such execution and delivery) and (ii) required to be obtained by such Party in connection with the performance of its obligations under this Agreement have been obtained or will be obtained prior to such performance.</w:t>
      </w:r>
    </w:p>
    <w:p>
      <w:pPr>
        <w:spacing w:after="0" w:line="182" w:lineRule="exact"/>
        <w:rPr>
          <w:sz w:val="20"/>
          <w:szCs w:val="20"/>
          <w:color w:val="auto"/>
        </w:rPr>
      </w:pPr>
    </w:p>
    <w:p>
      <w:pPr>
        <w:jc w:val="both"/>
        <w:ind w:left="1" w:firstLine="648"/>
        <w:spacing w:after="0" w:line="273" w:lineRule="auto"/>
        <w:rPr>
          <w:sz w:val="20"/>
          <w:szCs w:val="20"/>
          <w:color w:val="auto"/>
        </w:rPr>
      </w:pPr>
      <w:r>
        <w:rPr>
          <w:rFonts w:ascii="Arial" w:cs="Arial" w:eastAsia="Arial" w:hAnsi="Arial"/>
          <w:sz w:val="19"/>
          <w:szCs w:val="19"/>
          <w:b w:val="1"/>
          <w:bCs w:val="1"/>
          <w:color w:val="auto"/>
        </w:rPr>
        <w:t xml:space="preserve">10.6 No Debarment. </w:t>
      </w:r>
      <w:r>
        <w:rPr>
          <w:rFonts w:ascii="Arial" w:cs="Arial" w:eastAsia="Arial" w:hAnsi="Arial"/>
          <w:sz w:val="19"/>
          <w:szCs w:val="19"/>
          <w:color w:val="auto"/>
        </w:rPr>
        <w:t>Each Party hereby certifies to the other that it has not used, and will not use the</w:t>
      </w:r>
      <w:r>
        <w:rPr>
          <w:rFonts w:ascii="Arial" w:cs="Arial" w:eastAsia="Arial" w:hAnsi="Arial"/>
          <w:sz w:val="19"/>
          <w:szCs w:val="19"/>
          <w:b w:val="1"/>
          <w:bCs w:val="1"/>
          <w:color w:val="auto"/>
        </w:rPr>
        <w:t xml:space="preserve"> </w:t>
      </w:r>
      <w:r>
        <w:rPr>
          <w:rFonts w:ascii="Arial" w:cs="Arial" w:eastAsia="Arial" w:hAnsi="Arial"/>
          <w:sz w:val="19"/>
          <w:szCs w:val="19"/>
          <w:color w:val="auto"/>
        </w:rPr>
        <w:t>services of any person disqualified, debarred, banned, subject to debarment or convicted of a crime for which a person could be debarred by the FDA under 21 U.S.C. 335a, as amended (or subject to a similar sanction of any other Regulatory Authority), in any capacity in connection with any of the services or work provided under any Combined Therapy Trial and that this certification may be relied upon in any applications to the FDA or any other Regulatory Authority. It is understood and agreed that this certification imposes a continuing obligation upon each Party to notify the other promptly of any change in the truth of this certification. Upon request by a Party, the other Party agrees to provide a list of persons used to perform the services or work provided under any activities conducted for or on behalf of such Party or any of its Affiliates pursuant to this Agreement who, within the five years preceding the Effective Date, or subsequent to the Effective Date, were or are convicted of one of the criminal offenses required by 21 U.S.C. 335a, as amended, to be listed in any application for approval of an abbreviated application for drug approval.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19" w:name="page120"/>
    <w:bookmarkEnd w:id="119"/>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color w:val="auto"/>
        </w:rPr>
        <w:t xml:space="preserve">10.7 Compliance with Applicable Law. </w:t>
      </w:r>
      <w:r>
        <w:rPr>
          <w:rFonts w:ascii="Arial" w:cs="Arial" w:eastAsia="Arial" w:hAnsi="Arial"/>
          <w:sz w:val="19"/>
          <w:szCs w:val="19"/>
          <w:color w:val="auto"/>
        </w:rPr>
        <w:t>BioXcel and Nektar each represents and warrants that it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all Applicable Laws of the country or other jurisdiction, or any court or agency thereof, applicable to the performance of its activities hereunder or any obligation or transaction hereunder, including those pertaining to the production and handling of drug products and reporting of information, such as those set forth by the Regulatory Agencies, as applicable, and the applicable terms of this Agreement, in the performance of its obligations hereunder.</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10.8 Affiliates. </w:t>
      </w:r>
      <w:r>
        <w:rPr>
          <w:rFonts w:ascii="Arial" w:cs="Arial" w:eastAsia="Arial" w:hAnsi="Arial"/>
          <w:sz w:val="21"/>
          <w:szCs w:val="21"/>
          <w:color w:val="auto"/>
        </w:rPr>
        <w:t>BioXcel and Nektar each represents and warrants that, to the extent the intellectual</w:t>
      </w:r>
      <w:r>
        <w:rPr>
          <w:rFonts w:ascii="Arial" w:cs="Arial" w:eastAsia="Arial" w:hAnsi="Arial"/>
          <w:sz w:val="21"/>
          <w:szCs w:val="21"/>
          <w:b w:val="1"/>
          <w:bCs w:val="1"/>
          <w:color w:val="auto"/>
        </w:rPr>
        <w:t xml:space="preserve"> </w:t>
      </w:r>
      <w:r>
        <w:rPr>
          <w:rFonts w:ascii="Arial" w:cs="Arial" w:eastAsia="Arial" w:hAnsi="Arial"/>
          <w:sz w:val="21"/>
          <w:szCs w:val="21"/>
          <w:color w:val="auto"/>
        </w:rPr>
        <w:t>property, Regulatory Documentation or Technology licensed by it hereunder are Controlled by its Affiliates or a Third Party, it has the right to use, and has the right to grant (sub)licenses to the other Party to use, such intellectual property, Regulatory Documentation or Technology in accordance with the terms of this Agreement and subject to any restrictions expressly disclosed in writing to the other Party.</w:t>
      </w:r>
    </w:p>
    <w:p>
      <w:pPr>
        <w:spacing w:after="0" w:line="16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10.9 Ethical Business Practices. </w:t>
      </w:r>
      <w:r>
        <w:rPr>
          <w:rFonts w:ascii="Arial" w:cs="Arial" w:eastAsia="Arial" w:hAnsi="Arial"/>
          <w:sz w:val="21"/>
          <w:szCs w:val="21"/>
          <w:color w:val="auto"/>
        </w:rPr>
        <w:t>BioXcel and Nektar each represents and warrants that neither it nor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will make any payment, either directly or indirectly, of money or other assets, including the compensation such Party derives from this Agreement (collectively a “</w:t>
      </w:r>
      <w:r>
        <w:rPr>
          <w:rFonts w:ascii="Arial" w:cs="Arial" w:eastAsia="Arial" w:hAnsi="Arial"/>
          <w:sz w:val="21"/>
          <w:szCs w:val="21"/>
          <w:b w:val="1"/>
          <w:bCs w:val="1"/>
          <w:i w:val="1"/>
          <w:iCs w:val="1"/>
          <w:color w:val="auto"/>
        </w:rPr>
        <w:t>Payment</w:t>
      </w:r>
      <w:r>
        <w:rPr>
          <w:rFonts w:ascii="Arial" w:cs="Arial" w:eastAsia="Arial" w:hAnsi="Arial"/>
          <w:sz w:val="21"/>
          <w:szCs w:val="21"/>
          <w:color w:val="auto"/>
        </w:rPr>
        <w:t>”), to government or political party officials, officials of International Public Organizations, candidates for public office, or representatives of other businesses or Persons acting on behalf of any of the foregoing (collectively “</w:t>
      </w:r>
      <w:r>
        <w:rPr>
          <w:rFonts w:ascii="Arial" w:cs="Arial" w:eastAsia="Arial" w:hAnsi="Arial"/>
          <w:sz w:val="21"/>
          <w:szCs w:val="21"/>
          <w:b w:val="1"/>
          <w:bCs w:val="1"/>
          <w:i w:val="1"/>
          <w:iCs w:val="1"/>
          <w:color w:val="auto"/>
        </w:rPr>
        <w:t>Officials</w:t>
      </w:r>
      <w:r>
        <w:rPr>
          <w:rFonts w:ascii="Arial" w:cs="Arial" w:eastAsia="Arial" w:hAnsi="Arial"/>
          <w:sz w:val="21"/>
          <w:szCs w:val="21"/>
          <w:color w:val="auto"/>
        </w:rPr>
        <w:t>”) where such Payment would constitute violation of any law, including the Foreign Corrupt Practices Act of 1977, 15 U.S.C. §§ 78dd-1, et seq. In addition, regardless of legality, neither it nor its Affiliates will make any Payment either directly or indirectly to Officials if such Payment is for the purpose of improperly influencing decisions or actions with respect to the subject matter of this Agreement. All activities will be conducted in compliance with the U.S. False Claims Act and the U.S. Anti-Kickback Statute.</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10.10 Single Agent Compound Safety Issues. </w:t>
      </w:r>
      <w:r>
        <w:rPr>
          <w:rFonts w:ascii="Arial" w:cs="Arial" w:eastAsia="Arial" w:hAnsi="Arial"/>
          <w:sz w:val="19"/>
          <w:szCs w:val="19"/>
          <w:color w:val="auto"/>
        </w:rPr>
        <w:t>Each Party represents and warrants that, to the best of its</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it is not aware of any material safety or toxicity issue with respect to its Single Agent Compound that are not reflected in the investigator’s brochure for its Single Agent Compound existing as of the Effective Date.</w:t>
      </w:r>
    </w:p>
    <w:p>
      <w:pPr>
        <w:spacing w:after="0" w:line="12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10.11 Accounting. </w:t>
      </w:r>
      <w:r>
        <w:rPr>
          <w:rFonts w:ascii="Arial" w:cs="Arial" w:eastAsia="Arial" w:hAnsi="Arial"/>
          <w:sz w:val="19"/>
          <w:szCs w:val="19"/>
          <w:color w:val="auto"/>
        </w:rPr>
        <w:t>Each Party represents and warrants that all transactions under the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properly and accurately recorded in all material respects on its books and records and that each document upon which entries in such books and records are based is complete and accurate in all material respects.</w:t>
      </w:r>
    </w:p>
    <w:p>
      <w:pPr>
        <w:spacing w:after="0" w:line="12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10.12 DISCLAIMER OF WARRANTY. </w:t>
      </w:r>
      <w:r>
        <w:rPr>
          <w:rFonts w:ascii="Arial" w:cs="Arial" w:eastAsia="Arial" w:hAnsi="Arial"/>
          <w:sz w:val="21"/>
          <w:szCs w:val="21"/>
          <w:color w:val="auto"/>
        </w:rPr>
        <w:t>THE EXPRESS REPRESENTATIONS AND WARRANTIES</w:t>
      </w:r>
      <w:r>
        <w:rPr>
          <w:rFonts w:ascii="Arial" w:cs="Arial" w:eastAsia="Arial" w:hAnsi="Arial"/>
          <w:sz w:val="21"/>
          <w:szCs w:val="21"/>
          <w:b w:val="1"/>
          <w:bCs w:val="1"/>
          <w:color w:val="auto"/>
        </w:rPr>
        <w:t xml:space="preserve"> </w:t>
      </w:r>
      <w:r>
        <w:rPr>
          <w:rFonts w:ascii="Arial" w:cs="Arial" w:eastAsia="Arial" w:hAnsi="Arial"/>
          <w:sz w:val="21"/>
          <w:szCs w:val="21"/>
          <w:color w:val="auto"/>
        </w:rPr>
        <w:t>STATED IN THIS ARTICLE 10 ARE IN LIEU OF, AND THE PARTIES DO HEREBY DISCLAIM, ALL OTHER REPRESENTATIONS AND WARRANTIES, EXPRESS, IMPLIED OR STATUTORY, INCLUDING WARRANTIES OF MERCHANTABILITY, FITNESS FOR A PARTICULAR PURPOSE OR USE, AND NON-INFRINGEMENT OF THIRD PARTY INTELLECTUAL PROPERTY RIGHTS.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0" w:name="page121"/>
    <w:bookmarkEnd w:id="120"/>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jc w:val="both"/>
        <w:ind w:left="1" w:firstLine="648"/>
        <w:spacing w:after="0" w:line="270" w:lineRule="auto"/>
        <w:rPr>
          <w:sz w:val="20"/>
          <w:szCs w:val="20"/>
          <w:color w:val="auto"/>
        </w:rPr>
      </w:pPr>
      <w:r>
        <w:rPr>
          <w:rFonts w:ascii="Arial" w:cs="Arial" w:eastAsia="Arial" w:hAnsi="Arial"/>
          <w:sz w:val="19"/>
          <w:szCs w:val="19"/>
          <w:b w:val="1"/>
          <w:bCs w:val="1"/>
          <w:color w:val="auto"/>
        </w:rPr>
        <w:t xml:space="preserve">11.1 Nektar Indemnification. </w:t>
      </w:r>
      <w:r>
        <w:rPr>
          <w:rFonts w:ascii="Arial" w:cs="Arial" w:eastAsia="Arial" w:hAnsi="Arial"/>
          <w:sz w:val="19"/>
          <w:szCs w:val="19"/>
          <w:color w:val="auto"/>
        </w:rPr>
        <w:t>Nektar hereby agrees to defend, hold harmless and indemnify</w:t>
      </w:r>
      <w:r>
        <w:rPr>
          <w:rFonts w:ascii="Arial" w:cs="Arial" w:eastAsia="Arial" w:hAnsi="Arial"/>
          <w:sz w:val="19"/>
          <w:szCs w:val="19"/>
          <w:b w:val="1"/>
          <w:bCs w:val="1"/>
          <w:color w:val="auto"/>
        </w:rPr>
        <w:t xml:space="preserve"> </w:t>
      </w:r>
      <w:r>
        <w:rPr>
          <w:rFonts w:ascii="Arial" w:cs="Arial" w:eastAsia="Arial" w:hAnsi="Arial"/>
          <w:sz w:val="19"/>
          <w:szCs w:val="19"/>
          <w:color w:val="auto"/>
        </w:rPr>
        <w:t>(collectively, “</w:t>
      </w:r>
      <w:r>
        <w:rPr>
          <w:rFonts w:ascii="Arial" w:cs="Arial" w:eastAsia="Arial" w:hAnsi="Arial"/>
          <w:sz w:val="19"/>
          <w:szCs w:val="19"/>
          <w:b w:val="1"/>
          <w:bCs w:val="1"/>
          <w:i w:val="1"/>
          <w:iCs w:val="1"/>
          <w:color w:val="auto"/>
        </w:rPr>
        <w:t>Indemnify</w:t>
      </w:r>
      <w:r>
        <w:rPr>
          <w:rFonts w:ascii="Arial" w:cs="Arial" w:eastAsia="Arial" w:hAnsi="Arial"/>
          <w:sz w:val="19"/>
          <w:szCs w:val="19"/>
          <w:color w:val="auto"/>
        </w:rPr>
        <w:t>”) BioXcel, its Affiliates, and its and their agents, directors, officers, and employees (the “</w:t>
      </w:r>
      <w:r>
        <w:rPr>
          <w:rFonts w:ascii="Arial" w:cs="Arial" w:eastAsia="Arial" w:hAnsi="Arial"/>
          <w:sz w:val="19"/>
          <w:szCs w:val="19"/>
          <w:b w:val="1"/>
          <w:bCs w:val="1"/>
          <w:i w:val="1"/>
          <w:iCs w:val="1"/>
          <w:color w:val="auto"/>
        </w:rPr>
        <w:t>BioXcel Indemnitees</w:t>
      </w:r>
      <w:r>
        <w:rPr>
          <w:rFonts w:ascii="Arial" w:cs="Arial" w:eastAsia="Arial" w:hAnsi="Arial"/>
          <w:sz w:val="19"/>
          <w:szCs w:val="19"/>
          <w:color w:val="auto"/>
        </w:rPr>
        <w:t>”) from and against any and all liabilities, expenses and/or losses, including reasonable cost of investigations, experts, legal expenses and attorneys’ fees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resulting from Third Party suits, claims, actions and demands (each,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to the extent that they arise or result from (a) the gross negligence or intentional misconduct of Nektar, any Nektar Indemnitee or any (sub)licensee of Nektar conducting activities on behalf of Nektar under this Agreement or pursuant to a (sub)license granted by Nektar;</w:t>
      </w:r>
    </w:p>
    <w:p>
      <w:pPr>
        <w:spacing w:after="0" w:line="5" w:lineRule="exact"/>
        <w:rPr>
          <w:sz w:val="20"/>
          <w:szCs w:val="20"/>
          <w:color w:val="auto"/>
        </w:rPr>
      </w:pPr>
    </w:p>
    <w:p>
      <w:pPr>
        <w:jc w:val="both"/>
        <w:ind w:left="1" w:hanging="1"/>
        <w:spacing w:after="0" w:line="267" w:lineRule="auto"/>
        <w:tabs>
          <w:tab w:leader="none" w:pos="313"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any breach by Nektar of any representation, warranty or covenant set forth in Article 10, or any material breach by Nektar of any provision of this Agreement; (c) any injury to a subject in a Combined Therapy Trial caused solely by the development, use or manufacture of the Nektar Compound; (d) any injury to a subject in a Combined Therapy Trial where it ultimately cannot be or is not determined if such injury is the direct result of the Nektar Compound on the one hand or the BioXcel Compound on the other hand,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in the case of this clause (d), Nektar shall only Indemnify the BioXcel Indemnitees for [***] percent ([***]%) of any such Loss; or</w:t>
      </w:r>
    </w:p>
    <w:p>
      <w:pPr>
        <w:jc w:val="both"/>
        <w:ind w:left="1" w:hanging="1"/>
        <w:spacing w:after="0" w:line="277" w:lineRule="auto"/>
        <w:tabs>
          <w:tab w:leader="none" w:pos="31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use by Nektar, its Affiliates, contractors or (sub)licensees of Combined Therapy Study Data, Nektar Study Data, Nektar Study Inventions, Nektar Study Patent Rights, Combined Therapy Trial Inventions and Combined Therapy Patent Rights outside the scope of this Agreement (other than with respect to Third Party Claims that are covered under Section 6.4)); but excluding, in each case with respect to clauses (a) through (c), or (e), any such Losses to the extent BioXcel is obligated to Indemnify the Nektar Indemnitees pursuant to Section 11.2.</w:t>
      </w:r>
    </w:p>
    <w:p>
      <w:pPr>
        <w:spacing w:after="0" w:line="147" w:lineRule="exact"/>
        <w:rPr>
          <w:sz w:val="20"/>
          <w:szCs w:val="20"/>
          <w:color w:val="auto"/>
        </w:rPr>
      </w:pPr>
    </w:p>
    <w:p>
      <w:pPr>
        <w:jc w:val="both"/>
        <w:ind w:left="1" w:firstLine="648"/>
        <w:spacing w:after="0" w:line="272" w:lineRule="auto"/>
        <w:rPr>
          <w:sz w:val="20"/>
          <w:szCs w:val="20"/>
          <w:color w:val="auto"/>
        </w:rPr>
      </w:pPr>
      <w:r>
        <w:rPr>
          <w:rFonts w:ascii="Arial" w:cs="Arial" w:eastAsia="Arial" w:hAnsi="Arial"/>
          <w:sz w:val="19"/>
          <w:szCs w:val="19"/>
          <w:b w:val="1"/>
          <w:bCs w:val="1"/>
          <w:color w:val="auto"/>
        </w:rPr>
        <w:t xml:space="preserve">11.2 BioXcel Indemnification. </w:t>
      </w:r>
      <w:r>
        <w:rPr>
          <w:rFonts w:ascii="Arial" w:cs="Arial" w:eastAsia="Arial" w:hAnsi="Arial"/>
          <w:sz w:val="19"/>
          <w:szCs w:val="19"/>
          <w:color w:val="auto"/>
        </w:rPr>
        <w:t>BioXcel hereby agrees to Indemnify Nektar, its Affiliates, and its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agents, directors, officers, and employees (the “</w:t>
      </w:r>
      <w:r>
        <w:rPr>
          <w:rFonts w:ascii="Arial" w:cs="Arial" w:eastAsia="Arial" w:hAnsi="Arial"/>
          <w:sz w:val="19"/>
          <w:szCs w:val="19"/>
          <w:b w:val="1"/>
          <w:bCs w:val="1"/>
          <w:i w:val="1"/>
          <w:iCs w:val="1"/>
          <w:color w:val="auto"/>
        </w:rPr>
        <w:t>Nektar Indemnitees</w:t>
      </w:r>
      <w:r>
        <w:rPr>
          <w:rFonts w:ascii="Arial" w:cs="Arial" w:eastAsia="Arial" w:hAnsi="Arial"/>
          <w:sz w:val="19"/>
          <w:szCs w:val="19"/>
          <w:color w:val="auto"/>
        </w:rPr>
        <w:t xml:space="preserve">”) from and against any and all Losses resulting from Third Party Claims to the extent that they arise or result from (a) the gross negligence or intentional misconduct of BioXcel or any BioXcel Indemnitee or any (sub) licensee of BioXcel conducting activities on behalf of BioXcel under this Agreement or pursuant to a (sub)license granted by BioXcel; (b) any breach by BioXcel of any representation, warranty or covenant set forth in Article 10, or any material breach by BioXcel of any provision of this Agreement; (c) any injury to a subject in a Combined Therapy Trial caused solely by the development, use or manufacture of the BioXcel Compound; (d) any injury to a subject in a Combined Therapy Trial where it ultimately cannot be or is not determined if such injury is the direct result of the BioXcel Compound on the one hand or the Nektar Compound on the other hand;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in the case of this clause (d), BioXcel shall only Indemnify the Nektar Indemnitees for [***] percent ([***]%) of any such Loss; or (e) the use by BioXcel, its Affiliates, contractors or (sub)licensees of Combined Therapy Study Data, BioXcel Study Data, BioXcel Study Inventions, BioXcel Study Patent Rights, Combined Therapy Trial Inventions and Combined Therapy Patent Rights outside the scope of this Agreement (other than with respect to Third Party Claims that are covered under Section 6.4)), but excluding, in each case with respect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21" w:name="page122"/>
    <w:bookmarkEnd w:id="121"/>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to clauses (a) through (c), or (e), any such Losses to the extent Nektar is obligated to Indemnify the BioXcel Indemnitees pursuant to Section 11.1.</w:t>
      </w:r>
    </w:p>
    <w:p>
      <w:pPr>
        <w:spacing w:after="0" w:line="16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11.3 Indemnification Procedure. </w:t>
      </w:r>
      <w:r>
        <w:rPr>
          <w:rFonts w:ascii="Arial" w:cs="Arial" w:eastAsia="Arial" w:hAnsi="Arial"/>
          <w:sz w:val="21"/>
          <w:szCs w:val="21"/>
          <w:color w:val="auto"/>
        </w:rPr>
        <w:t>Each Party’s agreement to Indemnify the other Party is conditioned on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performance of the following by the Party seeking indemnification: (a) providing written notice to the Indemnifying Party of any Loss of the types set forth in Section 11.1 and 11.2 within ninety (90) calendar days after the Party seeking indemnification has knowledge of such Third Party Claim;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any delay in complying with the requirements of this clause (a) will only limit the Indemnifying Party’s obligation to the extent of the prejudice caused to the Indemnifying Party by such delay; (b) permitting the Indemnifying Party to assume full responsibility (but without any reservation of rights or recovery against the Indemnified Party) to investigate, prepare for and defend against any such Loss; (c) providing reasonable assistance to the Indemnifying Party, at the Indemnifying Party’s expense, in the investigation of, preparation for and defense of any Loss; and (d) not compromising or settling such Loss without the Indemnifying Party’s written consent, such consent not to be unreasonably withheld or delayed.</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11.4 Separate Defense of Claims. </w:t>
      </w:r>
      <w:r>
        <w:rPr>
          <w:rFonts w:ascii="Arial" w:cs="Arial" w:eastAsia="Arial" w:hAnsi="Arial"/>
          <w:sz w:val="21"/>
          <w:szCs w:val="21"/>
          <w:color w:val="auto"/>
        </w:rPr>
        <w:t>In the event that the Parties cannot agree as to the application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Sections 11.1, 11.2 and/or 11.3 to any particular Loss, the Parties may conduct separate defenses of such Loss. Each Party further reserves the right to claim indemnity from the other in accordance with Sections 11.1, 11.2 and/or 11.3 upon resolution of the underlying claim, notwithstanding clause (b) of Section 11.3.</w:t>
      </w:r>
    </w:p>
    <w:p>
      <w:pPr>
        <w:spacing w:after="0" w:line="16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11.5 Insurance. </w:t>
      </w:r>
      <w:r>
        <w:rPr>
          <w:rFonts w:ascii="Arial" w:cs="Arial" w:eastAsia="Arial" w:hAnsi="Arial"/>
          <w:sz w:val="19"/>
          <w:szCs w:val="19"/>
          <w:color w:val="auto"/>
        </w:rPr>
        <w:t>Each Party shall maintain commercially reasonable levels of insurance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and commercially reasonable forms of protection or self-insurance to satisfy its indemnification obligations under this Agreement. Each Party shall provide the other Party with written notice at least thirty (30) calendar days prior to the cancellation, non-renewal or material change in such insurance or self-insurance that would materially adversely affect the rights of the other Party hereunder. The maintenance of any insurance shall not constitute any limit or restriction on damages available to a Party under this Agreement.</w:t>
      </w:r>
    </w:p>
    <w:p>
      <w:pPr>
        <w:spacing w:after="0" w:line="14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2"/>
          <w:szCs w:val="22"/>
          <w:b w:val="1"/>
          <w:bCs w:val="1"/>
          <w:color w:val="auto"/>
        </w:rPr>
        <w:t>11.6</w:t>
        <w:tab/>
        <w:t>LIMITATION OF LIABILITY</w:t>
      </w:r>
      <w:r>
        <w:rPr>
          <w:rFonts w:ascii="Arial" w:cs="Arial" w:eastAsia="Arial" w:hAnsi="Arial"/>
          <w:sz w:val="22"/>
          <w:szCs w:val="22"/>
          <w:color w:val="auto"/>
        </w:rPr>
        <w:t>.</w:t>
      </w:r>
    </w:p>
    <w:p>
      <w:pPr>
        <w:spacing w:after="0" w:line="212" w:lineRule="exact"/>
        <w:rPr>
          <w:sz w:val="20"/>
          <w:szCs w:val="20"/>
          <w:color w:val="auto"/>
        </w:rPr>
      </w:pPr>
    </w:p>
    <w:p>
      <w:pPr>
        <w:jc w:val="both"/>
        <w:ind w:firstLine="1296"/>
        <w:spacing w:after="0" w:line="233" w:lineRule="auto"/>
        <w:tabs>
          <w:tab w:leader="none" w:pos="2143" w:val="left"/>
        </w:tabs>
        <w:numPr>
          <w:ilvl w:val="0"/>
          <w:numId w:val="106"/>
        </w:numPr>
        <w:rPr>
          <w:rFonts w:ascii="Arial" w:cs="Arial" w:eastAsia="Arial" w:hAnsi="Arial"/>
          <w:sz w:val="22"/>
          <w:szCs w:val="22"/>
          <w:b w:val="1"/>
          <w:bCs w:val="1"/>
          <w:color w:val="auto"/>
        </w:rPr>
      </w:pPr>
      <w:r>
        <w:rPr>
          <w:rFonts w:ascii="Arial" w:cs="Arial" w:eastAsia="Arial" w:hAnsi="Arial"/>
          <w:sz w:val="22"/>
          <w:szCs w:val="22"/>
          <w:color w:val="auto"/>
        </w:rPr>
        <w:t>NEITHER PARTY SHALL BE LIABLE TO THE OTHER PARTY FOR INDIRECT, INCIDENTAL, CONSEQUENTIAL OR SPECIAL DAMAGES, INCLUDING BUT NOT LIMITED TO LOST PROFITS, ARISING FROM OR RELATING TO THIS AGREEMENT AND/OR SUCH PARTY’S PERFORMANCE HEREUNDER, REGARDLESS OF ANY NOTICE OF THE POSSIBILITY OF SUCH DAMAGES AND REGARDLESS OF THE CAUSE OF ACTION (WHETHER IN CONTRACT, TORT, BREACH OF WARRANTY OR OTHERWISE). NOTHING IN THIS SECTION 11.6(a) IS INTENDED TO LIMIT OR RESTRICT THE INDEMNIFICATION RIGHTS OR OBLIGATIONS OF A PARTY UNDER SECTIONS 11.1 OR 11.2, OR DAMAGES AVAILABLE FOR BREACHES OF PAYMENT OBLIGATIONS IN SECTIONS 7.1 OR 7.2, CONFIDENTIALITY OBLIGATIONS IN ARTICLE 9 OR FOR A PARTY’S GROSS NEGLIGENCE OR WILLFUL MISCONDUCT.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2" w:name="page123"/>
    <w:bookmarkEnd w:id="12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ind w:firstLine="1296"/>
        <w:spacing w:after="0" w:line="233" w:lineRule="auto"/>
        <w:tabs>
          <w:tab w:leader="none" w:pos="2209"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EACH PARTY’S MAXIMUM, CUMULATIVE LIABILITY ARISING OUT OF OR RELATING TO A GIVEN COMBINED THERAPY TRIAL PERFORMED PURSUANT TO THIS AGREEMENT AND/OR SUCH PARTY’S PERFORMANCE RELATING THERETO, REGARDLESS OF THE CAUSE OF ACTION (WHETHER IN CONTRACT, TORT, BREACH OF WARRANTY, INDEMNITY OR OTHERWISE), WILL NOT EXCEED IN THE AGGREGATE FOR ALL CLAIMS RELATING TO SUCH COMBINED THERAPY TRIAL THE SUM OF TWO MILLION UNITED STATES DOLLARS (US$2,000,000.00) PROVIDED, HOWEVER, THAT NOTHING IN THIS SECTION 11.6(b) IS INTENDED TO LIMIT OR RESTRICT THE INDEMNIFICATION RIGHTS OR OBLIGATIONS OF A PARTY UNDER SECTIONS 11.1 OR 11.2, OR ANY DAMAGES AVAILABLE FOR BREACHES OF PAYMENT OBLIGATIONS IN SECTIONS 7.1 OR 7.2, CONFIDENTIALITY OBLIGATIONS IN ARTICLE 9 OR FOR A PARTY’S GROSS NEGLIGENCE OR WILLFUL MISCONDUCT.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b w:val="1"/>
          <w:bCs w:val="1"/>
          <w:color w:val="auto"/>
        </w:rPr>
        <w:t xml:space="preserve">12.1 Term. </w:t>
      </w:r>
      <w:r>
        <w:rPr>
          <w:rFonts w:ascii="Arial" w:cs="Arial" w:eastAsia="Arial" w:hAnsi="Arial"/>
          <w:sz w:val="21"/>
          <w:szCs w:val="21"/>
          <w:color w:val="auto"/>
        </w:rPr>
        <w:t>This Agreement shall be effective as of the Effective Date and, unless earlier terminated</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Sections 12.2, 12.3 or 12.4 or any other termination right expressly stated in this Agreement, shall continue in effect until completion by all centers or institutions participating in the Combined Therapy Trials, the delivery of all Study Data, including all completed case report forms, all final analyses and all final clinical study reports contemplated by the Combined Therapy Trials, to both Parties, and the completion of any then agreed upon Protocol, Statistical Analysis and Bioanalysis Plan (the “</w:t>
      </w:r>
      <w:r>
        <w:rPr>
          <w:rFonts w:ascii="Arial" w:cs="Arial" w:eastAsia="Arial" w:hAnsi="Arial"/>
          <w:sz w:val="21"/>
          <w:szCs w:val="21"/>
          <w:b w:val="1"/>
          <w:bCs w:val="1"/>
          <w:i w:val="1"/>
          <w:iCs w:val="1"/>
          <w:color w:val="auto"/>
        </w:rPr>
        <w:t>Term</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termination language in Sections 2.1(e) applies, then the Term shall expire.</w:t>
      </w:r>
    </w:p>
    <w:p>
      <w:pPr>
        <w:spacing w:after="0" w:line="17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Termination for Material Breach</w:t>
      </w:r>
      <w:r>
        <w:rPr>
          <w:rFonts w:ascii="Arial" w:cs="Arial" w:eastAsia="Arial" w:hAnsi="Arial"/>
          <w:sz w:val="19"/>
          <w:szCs w:val="19"/>
          <w:color w:val="auto"/>
        </w:rPr>
        <w:t>.</w:t>
      </w:r>
    </w:p>
    <w:p>
      <w:pPr>
        <w:spacing w:after="0" w:line="206" w:lineRule="exact"/>
        <w:rPr>
          <w:sz w:val="20"/>
          <w:szCs w:val="20"/>
          <w:color w:val="auto"/>
        </w:rPr>
      </w:pPr>
    </w:p>
    <w:p>
      <w:pPr>
        <w:jc w:val="both"/>
        <w:ind w:firstLine="1296"/>
        <w:spacing w:after="0" w:line="280" w:lineRule="auto"/>
        <w:tabs>
          <w:tab w:leader="none" w:pos="1906"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and Cure Period. </w:t>
      </w:r>
      <w:r>
        <w:rPr>
          <w:rFonts w:ascii="Arial" w:cs="Arial" w:eastAsia="Arial" w:hAnsi="Arial"/>
          <w:sz w:val="19"/>
          <w:szCs w:val="19"/>
          <w:color w:val="auto"/>
        </w:rPr>
        <w:t>If a Party (the “</w:t>
      </w:r>
      <w:r>
        <w:rPr>
          <w:rFonts w:ascii="Arial" w:cs="Arial" w:eastAsia="Arial" w:hAnsi="Arial"/>
          <w:sz w:val="19"/>
          <w:szCs w:val="19"/>
          <w:b w:val="1"/>
          <w:bCs w:val="1"/>
          <w:i w:val="1"/>
          <w:iCs w:val="1"/>
          <w:color w:val="auto"/>
        </w:rPr>
        <w:t>Breaching Party</w:t>
      </w:r>
      <w:r>
        <w:rPr>
          <w:rFonts w:ascii="Arial" w:cs="Arial" w:eastAsia="Arial" w:hAnsi="Arial"/>
          <w:sz w:val="19"/>
          <w:szCs w:val="19"/>
          <w:color w:val="auto"/>
        </w:rPr>
        <w:t>”) is in material breach,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(the “</w:t>
      </w:r>
      <w:r>
        <w:rPr>
          <w:rFonts w:ascii="Arial" w:cs="Arial" w:eastAsia="Arial" w:hAnsi="Arial"/>
          <w:sz w:val="19"/>
          <w:szCs w:val="19"/>
          <w:b w:val="1"/>
          <w:bCs w:val="1"/>
          <w:i w:val="1"/>
          <w:iCs w:val="1"/>
          <w:color w:val="auto"/>
        </w:rPr>
        <w:t>Non-Breaching Party</w:t>
      </w:r>
      <w:r>
        <w:rPr>
          <w:rFonts w:ascii="Arial" w:cs="Arial" w:eastAsia="Arial" w:hAnsi="Arial"/>
          <w:sz w:val="19"/>
          <w:szCs w:val="19"/>
          <w:color w:val="auto"/>
        </w:rPr>
        <w:t>”) shall have the right to give the Breaching Party notice specifying the nature of such material breach. The Breaching Party shall have a period of [***] ([***]) calendar days after receipt of such notice to cure such material breach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in a manner reasonably acceptable to the Non-Breaching Party. For the avoidance of doubt, this provision is not intended to restrict in any way either Party’s right to notify the other Party of any other breach or to demand the cure of any other breach.</w:t>
      </w:r>
    </w:p>
    <w:p>
      <w:pPr>
        <w:spacing w:after="0" w:line="145" w:lineRule="exact"/>
        <w:rPr>
          <w:rFonts w:ascii="Arial" w:cs="Arial" w:eastAsia="Arial" w:hAnsi="Arial"/>
          <w:sz w:val="19"/>
          <w:szCs w:val="19"/>
          <w:b w:val="1"/>
          <w:bCs w:val="1"/>
          <w:color w:val="auto"/>
        </w:rPr>
      </w:pPr>
    </w:p>
    <w:p>
      <w:pPr>
        <w:jc w:val="both"/>
        <w:ind w:firstLine="1296"/>
        <w:spacing w:after="0" w:line="278" w:lineRule="auto"/>
        <w:tabs>
          <w:tab w:leader="none" w:pos="2148"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Right. </w:t>
      </w:r>
      <w:r>
        <w:rPr>
          <w:rFonts w:ascii="Arial" w:cs="Arial" w:eastAsia="Arial" w:hAnsi="Arial"/>
          <w:sz w:val="19"/>
          <w:szCs w:val="19"/>
          <w:color w:val="auto"/>
        </w:rPr>
        <w:t>The Non-Breaching Party shall have the right to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upon written notice, in the event that the Breaching Party has not cured such material breach within the Cure Period,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such breach is capable of cure but cannot reasonably be cured within the Cure Period, and the Breaching Party notifies the non-Breaching Party of its intent to cure such material breach, commences actions to cure such material breach within the Cure Period and thereafter diligently continues such actions, the Breaching Party shall have an additional [***] ([***]) calendar days to cure such breach. If a Party contests such termination pursuant to the dispute resolution procedures under Section 13.3, such</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3" w:name="page124"/>
    <w:bookmarkEnd w:id="123"/>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termination shall not be effective until a conclusion of the dispute resolution procedures in Section 13.3, as applicable, resulting in a determination that there has been a material breach that was not cured within the Cure Period (or, if earlier, abandonment of the dispute by such Party).</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12.3 Termination for Bankruptcy. </w:t>
      </w:r>
      <w:r>
        <w:rPr>
          <w:rFonts w:ascii="Arial" w:cs="Arial" w:eastAsia="Arial" w:hAnsi="Arial"/>
          <w:sz w:val="19"/>
          <w:szCs w:val="19"/>
          <w:color w:val="auto"/>
        </w:rPr>
        <w:t>Either Party may terminate this Agreement if, at any time, the other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shall file in any court or agency pursuant to any statute or regulation of any state, country or jurisdiction, a petition in bankruptcy or insolvency or for reorganization or for an arrangement or for the appointment of a receiver or trustee of such other Party or of such other Party’s assets, or if the other Party proposes a written agreement of composition or extension of its debts, or if the other Party shall be served with an involuntary petition against it, filed in any insolvency proceeding, and such petition shall not be dismissed or stayed within [***] ([***]) calendar days after the filing thereof, or if the other Party will propose or be a party to any dissolution or liquidation, or if the other Party shall make an assignment for the benefit of its creditors.</w:t>
      </w:r>
    </w:p>
    <w:p>
      <w:pPr>
        <w:spacing w:after="0" w:line="151"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Termination due to Material Safety Issue; Clinical Hold</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74" w:lineRule="auto"/>
        <w:tabs>
          <w:tab w:leader="none" w:pos="1900" w:val="left"/>
        </w:tabs>
        <w:numPr>
          <w:ilvl w:val="0"/>
          <w:numId w:val="109"/>
        </w:numPr>
        <w:rPr>
          <w:rFonts w:ascii="Arial" w:cs="Arial" w:eastAsia="Arial" w:hAnsi="Arial"/>
          <w:sz w:val="19"/>
          <w:szCs w:val="19"/>
          <w:b w:val="1"/>
          <w:bCs w:val="1"/>
          <w:color w:val="auto"/>
        </w:rPr>
      </w:pPr>
      <w:r>
        <w:rPr>
          <w:rFonts w:ascii="Arial" w:cs="Arial" w:eastAsia="Arial" w:hAnsi="Arial"/>
          <w:sz w:val="19"/>
          <w:szCs w:val="19"/>
          <w:color w:val="auto"/>
        </w:rPr>
        <w:t>Either Party shall have the right to terminate this Agreement immediately upon written notice if it reasonably deems it necessary to protect the safety, health or welfare of subjects enrolled in any Combined Therapy Trial due to the existence of a Material Safety Issue. In the event of a termination due to a Material Safety Issue, prior to the terminating Party providing written notice, each Party’s safety committee shall, to the extent practicable, meet and discuss in good faith the safety concerns raised by the terminating Party and consider in good faith the input, questions and advice of the non-terminating Party, but should any dispute arise in such discussion, the dispute resolution processes set forth in Sections 2.8 or 13.3 shall not apply to such dispute and the terminating Party shall have the right to issue such notice and such termination shall take effect without the Parties first following the procedures set forth in Sections 2.8 or 13.3.</w:t>
      </w:r>
    </w:p>
    <w:p>
      <w:pPr>
        <w:spacing w:after="0" w:line="158" w:lineRule="exact"/>
        <w:rPr>
          <w:rFonts w:ascii="Arial" w:cs="Arial" w:eastAsia="Arial" w:hAnsi="Arial"/>
          <w:sz w:val="19"/>
          <w:szCs w:val="19"/>
          <w:b w:val="1"/>
          <w:bCs w:val="1"/>
          <w:color w:val="auto"/>
        </w:rPr>
      </w:pPr>
    </w:p>
    <w:p>
      <w:pPr>
        <w:jc w:val="both"/>
        <w:ind w:firstLine="1296"/>
        <w:spacing w:after="0" w:line="234" w:lineRule="auto"/>
        <w:tabs>
          <w:tab w:leader="none" w:pos="2047" w:val="left"/>
        </w:tabs>
        <w:numPr>
          <w:ilvl w:val="0"/>
          <w:numId w:val="109"/>
        </w:numPr>
        <w:rPr>
          <w:rFonts w:ascii="Arial" w:cs="Arial" w:eastAsia="Arial" w:hAnsi="Arial"/>
          <w:sz w:val="22"/>
          <w:szCs w:val="22"/>
          <w:b w:val="1"/>
          <w:bCs w:val="1"/>
          <w:color w:val="auto"/>
        </w:rPr>
      </w:pPr>
      <w:r>
        <w:rPr>
          <w:rFonts w:ascii="Arial" w:cs="Arial" w:eastAsia="Arial" w:hAnsi="Arial"/>
          <w:sz w:val="22"/>
          <w:szCs w:val="22"/>
          <w:color w:val="auto"/>
        </w:rPr>
        <w:t>If a Clinical Hold with respect to the Nektar Compound, CPI Compound or the BioXcel Compound should arise at any time after the Effective Date, the Parties will meet and discuss the basis for the Clinical Hold, how long the Clinical Hold is expected to last, and how they might address the issue that caused the Clinical Hold. If, after ninety (90) calendar days of discussions following the Clinical Hold, either Party reasonably concludes that the issue is not solvable or that unacceptable and material additional costs/delays have been and/or will continue to be incurred in the conduct of the Combined Therapy Trial, then such Party may immediately terminate this Agreement.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12.5 Termination by Nektar for Breach of SCA. </w:t>
      </w:r>
      <w:r>
        <w:rPr>
          <w:rFonts w:ascii="Arial" w:cs="Arial" w:eastAsia="Arial" w:hAnsi="Arial"/>
          <w:sz w:val="22"/>
          <w:szCs w:val="22"/>
          <w:color w:val="auto"/>
        </w:rPr>
        <w:t>In the event that Nektar receives a notice from BMS</w:t>
      </w:r>
      <w:r>
        <w:rPr>
          <w:rFonts w:ascii="Arial" w:cs="Arial" w:eastAsia="Arial" w:hAnsi="Arial"/>
          <w:sz w:val="22"/>
          <w:szCs w:val="22"/>
          <w:b w:val="1"/>
          <w:bCs w:val="1"/>
          <w:color w:val="auto"/>
        </w:rPr>
        <w:t xml:space="preserve"> </w:t>
      </w:r>
      <w:r>
        <w:rPr>
          <w:rFonts w:ascii="Arial" w:cs="Arial" w:eastAsia="Arial" w:hAnsi="Arial"/>
          <w:sz w:val="22"/>
          <w:szCs w:val="22"/>
          <w:color w:val="auto"/>
        </w:rPr>
        <w:t>that any action taken or that the taking of any action under this Agreement by either Nektar of BioXcel has caused or will cause Nektar to be in breach of the SCA, and such breach cannot be cured in accordance with the terms of the SCA, Nektar shall have the right to terminate this Agreement on at least [***] ([***]) days prior written notice to BioXcel.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4" w:name="page125"/>
    <w:bookmarkEnd w:id="124"/>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left="1" w:firstLine="648"/>
        <w:spacing w:after="0" w:line="269" w:lineRule="auto"/>
        <w:rPr>
          <w:sz w:val="20"/>
          <w:szCs w:val="20"/>
          <w:color w:val="auto"/>
        </w:rPr>
      </w:pPr>
      <w:r>
        <w:rPr>
          <w:rFonts w:ascii="Arial" w:cs="Arial" w:eastAsia="Arial" w:hAnsi="Arial"/>
          <w:sz w:val="19"/>
          <w:szCs w:val="19"/>
          <w:b w:val="1"/>
          <w:bCs w:val="1"/>
          <w:color w:val="auto"/>
        </w:rPr>
        <w:t xml:space="preserve">12.6 Termination by Nektar related to BioXcel Diligence Failure. </w:t>
      </w:r>
      <w:r>
        <w:rPr>
          <w:rFonts w:ascii="Arial" w:cs="Arial" w:eastAsia="Arial" w:hAnsi="Arial"/>
          <w:sz w:val="19"/>
          <w:szCs w:val="19"/>
          <w:color w:val="auto"/>
        </w:rPr>
        <w:t>Nektar shall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terminate this Agreement on at least [***] ([***]) days prior written notice to BioXcel in the event that BioXcel fails to achieve any of the Diligence Targets for the Initial Trial within [***] ([***]) days of the target date set forth in Section 2.6(a),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Nektar’s notice of termination under this Section shall specifically cite the Diligence Target or Diligence Targets that BioXcel failed to achieve, (b) prior to Nektar terminating pursuant to this Section, the JDC shall meet and discuss the reason for such failure, and if the reason was other than due to BioXcel’s breach or negligence, the JDC shall extend the time period(s) for achieving such Diligence Target(s) for the period of time caused by such circumstance that was not due BioXcel’s breach or negligence, and (c) Nektar’s right to terminate this Agreement pursuant to this Section 12.6 shall not be available to Nektar in the event that BioXcel’s failure to meet a Diligence Target cited in the Nektar notice of termination was due in whole or in part to</w:t>
      </w:r>
    </w:p>
    <w:p>
      <w:pPr>
        <w:spacing w:after="0" w:line="6" w:lineRule="exact"/>
        <w:rPr>
          <w:sz w:val="20"/>
          <w:szCs w:val="20"/>
          <w:color w:val="auto"/>
        </w:rPr>
      </w:pPr>
    </w:p>
    <w:p>
      <w:pPr>
        <w:ind w:left="1" w:hanging="1"/>
        <w:spacing w:after="0" w:line="237" w:lineRule="auto"/>
        <w:tabs>
          <w:tab w:leader="none" w:pos="38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failure of Nektar to perform an obligation of Nektar set forth in this Agreement or Nektar’s breach or misconduct; or (ii) the failure of the Parties to agree on terms for obtaining a CPI Compound.</w:t>
      </w:r>
    </w:p>
    <w:p>
      <w:pPr>
        <w:spacing w:after="0" w:line="179"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22"/>
          <w:szCs w:val="22"/>
          <w:b w:val="1"/>
          <w:bCs w:val="1"/>
          <w:color w:val="auto"/>
        </w:rPr>
        <w:t xml:space="preserve">12.7 Termination by Either Party if no CPI Compound Agreed. </w:t>
      </w:r>
      <w:r>
        <w:rPr>
          <w:rFonts w:ascii="Arial" w:cs="Arial" w:eastAsia="Arial" w:hAnsi="Arial"/>
          <w:sz w:val="22"/>
          <w:szCs w:val="22"/>
          <w:color w:val="auto"/>
        </w:rPr>
        <w:t>Either Party shall have the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this Agreement on at least [***] ([***]) days notice to the other Party in the event the Parties have not agreed in writing on the terms for obtaining a CPI Compound by November 30, 2018, or such later date as may be mutually agreed by the Parties in writing.</w:t>
      </w:r>
    </w:p>
    <w:p>
      <w:pPr>
        <w:spacing w:after="0" w:line="181" w:lineRule="exact"/>
        <w:rPr>
          <w:sz w:val="20"/>
          <w:szCs w:val="20"/>
          <w:color w:val="auto"/>
        </w:rPr>
      </w:pPr>
    </w:p>
    <w:p>
      <w:pPr>
        <w:jc w:val="both"/>
        <w:ind w:left="1" w:firstLine="648"/>
        <w:spacing w:after="0" w:line="271" w:lineRule="auto"/>
        <w:rPr>
          <w:sz w:val="20"/>
          <w:szCs w:val="20"/>
          <w:color w:val="auto"/>
        </w:rPr>
      </w:pPr>
      <w:r>
        <w:rPr>
          <w:rFonts w:ascii="Arial" w:cs="Arial" w:eastAsia="Arial" w:hAnsi="Arial"/>
          <w:sz w:val="19"/>
          <w:szCs w:val="19"/>
          <w:b w:val="1"/>
          <w:bCs w:val="1"/>
          <w:color w:val="auto"/>
        </w:rPr>
        <w:t xml:space="preserve">12.8 Effect of Termination. </w:t>
      </w:r>
      <w:r>
        <w:rPr>
          <w:rFonts w:ascii="Arial" w:cs="Arial" w:eastAsia="Arial" w:hAnsi="Arial"/>
          <w:sz w:val="19"/>
          <w:szCs w:val="19"/>
          <w:color w:val="auto"/>
        </w:rPr>
        <w:t>Upon expiration or termination of this Agreement, (a) the licenses granted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each Party to conduct a Combined Therapy Trial in Sections 3.1 and 3.2 shall terminate, and (b) the Parties shall use reasonable efforts to wind down activities under this Agreement in a medically reasonable manner and avoid incurring any additional expenditures or non-cancellable obligations;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sufficient quantities of the Nektar Compound and the CPI Compound are available, (i) in the case of termination pursuant to Section 12.4, BioXcel may continue to dose subjects enrolled in any then ongoing Combined Therapy Trial through completion of the applicable Protocol if dosing is required by the applicable Regulatory Authority(ies) and/or Applicable Law(s); and (ii) in the case of termination by Nektar pursuant to Section 12.5, BioXcel may continue to dose subjects enrolled prior to receipt of the termination notice from Nektar in any then ongoing Combined Therapy Trial through completion of the applicable Protocol. Any such wind-down activities will include the return to Nektar, or destruction, of all Nektar Compound provided to BioXcel and not consumed in the Combined Therapy Trials. If applicable, upon termination of this Agreement, the Parties shall remain responsible pursuant to the terms of this Agreement for any expenses incurred prior to such termination and that are associated with terminating any ongoing clinical trial work and/or result from such ongoing activities under this Agreement solely to the extent such activities are deemed necessary by BioXcel (after discussion at a meeting of the JDC) based on reasonable medical judgment to protect the health of subjects participating in any Combined Therapy Trial.</w:t>
      </w:r>
    </w:p>
    <w:p>
      <w:pPr>
        <w:spacing w:after="0" w:line="158"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2"/>
          <w:szCs w:val="22"/>
          <w:b w:val="1"/>
          <w:bCs w:val="1"/>
          <w:color w:val="auto"/>
        </w:rPr>
        <w:t xml:space="preserve">12.9 Survival. </w:t>
      </w:r>
      <w:r>
        <w:rPr>
          <w:rFonts w:ascii="Arial" w:cs="Arial" w:eastAsia="Arial" w:hAnsi="Arial"/>
          <w:sz w:val="22"/>
          <w:szCs w:val="22"/>
          <w:color w:val="auto"/>
        </w:rPr>
        <w:t>The following Articles and Sections of this Agreement and all definitions relating thereto</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any expiration or termination of this Agreement for any reason: Section 2.1(b)(i), Section 2.1(b)(ii) (first sentence), Section 2.2 (“</w:t>
      </w:r>
      <w:r>
        <w:rPr>
          <w:rFonts w:ascii="Arial" w:cs="Arial" w:eastAsia="Arial" w:hAnsi="Arial"/>
          <w:sz w:val="22"/>
          <w:szCs w:val="22"/>
          <w:i w:val="1"/>
          <w:iCs w:val="1"/>
          <w:color w:val="auto"/>
        </w:rPr>
        <w:t>Safety Reporting”</w:t>
      </w:r>
      <w:r>
        <w:rPr>
          <w:rFonts w:ascii="Arial" w:cs="Arial" w:eastAsia="Arial" w:hAnsi="Arial"/>
          <w:sz w:val="22"/>
          <w:szCs w:val="22"/>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25" w:name="page126"/>
    <w:bookmarkEnd w:id="125"/>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Section 5.1(a)(viii), Section 5.1(b)(iii), Article 6 (“</w:t>
      </w:r>
      <w:r>
        <w:rPr>
          <w:rFonts w:ascii="Arial" w:cs="Arial" w:eastAsia="Arial" w:hAnsi="Arial"/>
          <w:sz w:val="22"/>
          <w:szCs w:val="22"/>
          <w:i w:val="1"/>
          <w:iCs w:val="1"/>
          <w:color w:val="auto"/>
        </w:rPr>
        <w:t>Intellectual Property”</w:t>
      </w:r>
      <w:r>
        <w:rPr>
          <w:rFonts w:ascii="Arial" w:cs="Arial" w:eastAsia="Arial" w:hAnsi="Arial"/>
          <w:sz w:val="22"/>
          <w:szCs w:val="22"/>
          <w:color w:val="auto"/>
        </w:rPr>
        <w:t>), Section 7.1 (“</w:t>
      </w:r>
      <w:r>
        <w:rPr>
          <w:rFonts w:ascii="Arial" w:cs="Arial" w:eastAsia="Arial" w:hAnsi="Arial"/>
          <w:sz w:val="22"/>
          <w:szCs w:val="22"/>
          <w:i w:val="1"/>
          <w:iCs w:val="1"/>
          <w:color w:val="auto"/>
        </w:rPr>
        <w:t>Combined Therapy Trial</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2"/>
          <w:szCs w:val="22"/>
          <w:color w:val="auto"/>
        </w:rPr>
        <w:t>), Section 7.2 (“</w:t>
      </w:r>
      <w:r>
        <w:rPr>
          <w:rFonts w:ascii="Arial" w:cs="Arial" w:eastAsia="Arial" w:hAnsi="Arial"/>
          <w:sz w:val="22"/>
          <w:szCs w:val="22"/>
          <w:i w:val="1"/>
          <w:iCs w:val="1"/>
          <w:color w:val="auto"/>
        </w:rPr>
        <w:t>Invoicing; Payment”</w:t>
      </w:r>
      <w:r>
        <w:rPr>
          <w:rFonts w:ascii="Arial" w:cs="Arial" w:eastAsia="Arial" w:hAnsi="Arial"/>
          <w:sz w:val="22"/>
          <w:szCs w:val="22"/>
          <w:color w:val="auto"/>
        </w:rPr>
        <w:t>), Section 8.1 (“</w:t>
      </w:r>
      <w:r>
        <w:rPr>
          <w:rFonts w:ascii="Arial" w:cs="Arial" w:eastAsia="Arial" w:hAnsi="Arial"/>
          <w:sz w:val="22"/>
          <w:szCs w:val="22"/>
          <w:i w:val="1"/>
          <w:iCs w:val="1"/>
          <w:color w:val="auto"/>
        </w:rPr>
        <w:t>Records”</w:t>
      </w:r>
      <w:r>
        <w:rPr>
          <w:rFonts w:ascii="Arial" w:cs="Arial" w:eastAsia="Arial" w:hAnsi="Arial"/>
          <w:sz w:val="22"/>
          <w:szCs w:val="22"/>
          <w:color w:val="auto"/>
        </w:rPr>
        <w:t>), Section 8.2 (“</w:t>
      </w:r>
      <w:r>
        <w:rPr>
          <w:rFonts w:ascii="Arial" w:cs="Arial" w:eastAsia="Arial" w:hAnsi="Arial"/>
          <w:sz w:val="22"/>
          <w:szCs w:val="22"/>
          <w:i w:val="1"/>
          <w:iCs w:val="1"/>
          <w:color w:val="auto"/>
        </w:rPr>
        <w:t>Ownership of Study Data”</w:t>
      </w:r>
      <w:r>
        <w:rPr>
          <w:rFonts w:ascii="Arial" w:cs="Arial" w:eastAsia="Arial" w:hAnsi="Arial"/>
          <w:sz w:val="22"/>
          <w:szCs w:val="22"/>
          <w:color w:val="auto"/>
        </w:rPr>
        <w:t>), Section 8.3 (“</w:t>
      </w:r>
      <w:r>
        <w:rPr>
          <w:rFonts w:ascii="Arial" w:cs="Arial" w:eastAsia="Arial" w:hAnsi="Arial"/>
          <w:sz w:val="22"/>
          <w:szCs w:val="22"/>
          <w:i w:val="1"/>
          <w:iCs w:val="1"/>
          <w:color w:val="auto"/>
        </w:rPr>
        <w:t>Use of Study Data”</w:t>
      </w:r>
      <w:r>
        <w:rPr>
          <w:rFonts w:ascii="Arial" w:cs="Arial" w:eastAsia="Arial" w:hAnsi="Arial"/>
          <w:sz w:val="22"/>
          <w:szCs w:val="22"/>
          <w:color w:val="auto"/>
        </w:rPr>
        <w:t>), Section 8.4 (“</w:t>
      </w:r>
      <w:r>
        <w:rPr>
          <w:rFonts w:ascii="Arial" w:cs="Arial" w:eastAsia="Arial" w:hAnsi="Arial"/>
          <w:sz w:val="22"/>
          <w:szCs w:val="22"/>
          <w:i w:val="1"/>
          <w:iCs w:val="1"/>
          <w:color w:val="auto"/>
        </w:rPr>
        <w:t>Access to Study Data”</w:t>
      </w:r>
      <w:r>
        <w:rPr>
          <w:rFonts w:ascii="Arial" w:cs="Arial" w:eastAsia="Arial" w:hAnsi="Arial"/>
          <w:sz w:val="22"/>
          <w:szCs w:val="22"/>
          <w:color w:val="auto"/>
        </w:rPr>
        <w:t>), Section 8.5 (“</w:t>
      </w:r>
      <w:r>
        <w:rPr>
          <w:rFonts w:ascii="Arial" w:cs="Arial" w:eastAsia="Arial" w:hAnsi="Arial"/>
          <w:sz w:val="22"/>
          <w:szCs w:val="22"/>
          <w:i w:val="1"/>
          <w:iCs w:val="1"/>
          <w:color w:val="auto"/>
        </w:rPr>
        <w:t>Samples”</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color w:val="auto"/>
        </w:rPr>
        <w:t>Article 9 (“</w:t>
      </w:r>
      <w:r>
        <w:rPr>
          <w:rFonts w:ascii="Arial" w:cs="Arial" w:eastAsia="Arial" w:hAnsi="Arial"/>
          <w:sz w:val="22"/>
          <w:szCs w:val="22"/>
          <w:i w:val="1"/>
          <w:iCs w:val="1"/>
          <w:color w:val="auto"/>
        </w:rPr>
        <w:t>Confidentiality”</w:t>
      </w:r>
      <w:r>
        <w:rPr>
          <w:rFonts w:ascii="Arial" w:cs="Arial" w:eastAsia="Arial" w:hAnsi="Arial"/>
          <w:sz w:val="22"/>
          <w:szCs w:val="22"/>
          <w:color w:val="auto"/>
        </w:rPr>
        <w:t>); Article 10 (“</w:t>
      </w: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Article 11 (“</w:t>
      </w:r>
      <w:r>
        <w:rPr>
          <w:rFonts w:ascii="Arial" w:cs="Arial" w:eastAsia="Arial" w:hAnsi="Arial"/>
          <w:sz w:val="22"/>
          <w:szCs w:val="22"/>
          <w:i w:val="1"/>
          <w:iCs w:val="1"/>
          <w:color w:val="auto"/>
        </w:rPr>
        <w:t>Indemnification”</w:t>
      </w:r>
      <w:r>
        <w:rPr>
          <w:rFonts w:ascii="Arial" w:cs="Arial" w:eastAsia="Arial" w:hAnsi="Arial"/>
          <w:sz w:val="22"/>
          <w:szCs w:val="22"/>
          <w:color w:val="auto"/>
        </w:rPr>
        <w:t>), Section 12.8 (“</w:t>
      </w:r>
      <w:r>
        <w:rPr>
          <w:rFonts w:ascii="Arial" w:cs="Arial" w:eastAsia="Arial" w:hAnsi="Arial"/>
          <w:sz w:val="22"/>
          <w:szCs w:val="22"/>
          <w:i w:val="1"/>
          <w:iCs w:val="1"/>
          <w:color w:val="auto"/>
        </w:rPr>
        <w:t>Effect of Termination”</w:t>
      </w:r>
      <w:r>
        <w:rPr>
          <w:rFonts w:ascii="Arial" w:cs="Arial" w:eastAsia="Arial" w:hAnsi="Arial"/>
          <w:sz w:val="22"/>
          <w:szCs w:val="22"/>
          <w:color w:val="auto"/>
        </w:rPr>
        <w:t>), Section 12.9 (“</w:t>
      </w:r>
      <w:r>
        <w:rPr>
          <w:rFonts w:ascii="Arial" w:cs="Arial" w:eastAsia="Arial" w:hAnsi="Arial"/>
          <w:sz w:val="22"/>
          <w:szCs w:val="22"/>
          <w:i w:val="1"/>
          <w:iCs w:val="1"/>
          <w:color w:val="auto"/>
        </w:rPr>
        <w:t>Survival”</w:t>
      </w:r>
      <w:r>
        <w:rPr>
          <w:rFonts w:ascii="Arial" w:cs="Arial" w:eastAsia="Arial" w:hAnsi="Arial"/>
          <w:sz w:val="22"/>
          <w:szCs w:val="22"/>
          <w:color w:val="auto"/>
        </w:rPr>
        <w:t>), Section 13.1 (“</w:t>
      </w:r>
      <w:r>
        <w:rPr>
          <w:rFonts w:ascii="Arial" w:cs="Arial" w:eastAsia="Arial" w:hAnsi="Arial"/>
          <w:sz w:val="22"/>
          <w:szCs w:val="22"/>
          <w:i w:val="1"/>
          <w:iCs w:val="1"/>
          <w:color w:val="auto"/>
        </w:rPr>
        <w:t>Entire Agreement”</w:t>
      </w:r>
      <w:r>
        <w:rPr>
          <w:rFonts w:ascii="Arial" w:cs="Arial" w:eastAsia="Arial" w:hAnsi="Arial"/>
          <w:sz w:val="22"/>
          <w:szCs w:val="22"/>
          <w:color w:val="auto"/>
        </w:rPr>
        <w:t>), Section 13.2 (“</w:t>
      </w:r>
      <w:r>
        <w:rPr>
          <w:rFonts w:ascii="Arial" w:cs="Arial" w:eastAsia="Arial" w:hAnsi="Arial"/>
          <w:sz w:val="22"/>
          <w:szCs w:val="22"/>
          <w:i w:val="1"/>
          <w:iCs w:val="1"/>
          <w:color w:val="auto"/>
        </w:rPr>
        <w:t>Governing Law”</w:t>
      </w:r>
      <w:r>
        <w:rPr>
          <w:rFonts w:ascii="Arial" w:cs="Arial" w:eastAsia="Arial" w:hAnsi="Arial"/>
          <w:sz w:val="22"/>
          <w:szCs w:val="22"/>
          <w:color w:val="auto"/>
        </w:rPr>
        <w:t>), Section 13.3 (“</w:t>
      </w:r>
      <w:r>
        <w:rPr>
          <w:rFonts w:ascii="Arial" w:cs="Arial" w:eastAsia="Arial" w:hAnsi="Arial"/>
          <w:sz w:val="22"/>
          <w:szCs w:val="22"/>
          <w:i w:val="1"/>
          <w:iCs w:val="1"/>
          <w:color w:val="auto"/>
        </w:rPr>
        <w:t>Dispute Resolution”</w:t>
      </w:r>
      <w:r>
        <w:rPr>
          <w:rFonts w:ascii="Arial" w:cs="Arial" w:eastAsia="Arial" w:hAnsi="Arial"/>
          <w:sz w:val="22"/>
          <w:szCs w:val="22"/>
          <w:color w:val="auto"/>
        </w:rPr>
        <w:t>), Section 13.4 (“</w:t>
      </w:r>
      <w:r>
        <w:rPr>
          <w:rFonts w:ascii="Arial" w:cs="Arial" w:eastAsia="Arial" w:hAnsi="Arial"/>
          <w:sz w:val="22"/>
          <w:szCs w:val="22"/>
          <w:i w:val="1"/>
          <w:iCs w:val="1"/>
          <w:color w:val="auto"/>
        </w:rPr>
        <w:t>Injunctive Relief”</w:t>
      </w:r>
      <w:r>
        <w:rPr>
          <w:rFonts w:ascii="Arial" w:cs="Arial" w:eastAsia="Arial" w:hAnsi="Arial"/>
          <w:sz w:val="22"/>
          <w:szCs w:val="22"/>
          <w:color w:val="auto"/>
        </w:rPr>
        <w:t>), Section 13.6 (“</w:t>
      </w:r>
      <w:r>
        <w:rPr>
          <w:rFonts w:ascii="Arial" w:cs="Arial" w:eastAsia="Arial" w:hAnsi="Arial"/>
          <w:sz w:val="22"/>
          <w:szCs w:val="22"/>
          <w:i w:val="1"/>
          <w:iCs w:val="1"/>
          <w:color w:val="auto"/>
        </w:rPr>
        <w:t>Notices”</w:t>
      </w:r>
      <w:r>
        <w:rPr>
          <w:rFonts w:ascii="Arial" w:cs="Arial" w:eastAsia="Arial" w:hAnsi="Arial"/>
          <w:sz w:val="22"/>
          <w:szCs w:val="22"/>
          <w:color w:val="auto"/>
        </w:rPr>
        <w:t>), Section 13.7 (“</w:t>
      </w:r>
      <w:r>
        <w:rPr>
          <w:rFonts w:ascii="Arial" w:cs="Arial" w:eastAsia="Arial" w:hAnsi="Arial"/>
          <w:sz w:val="22"/>
          <w:szCs w:val="22"/>
          <w:i w:val="1"/>
          <w:iCs w:val="1"/>
          <w:color w:val="auto"/>
        </w:rPr>
        <w:t>No Waiver; Modifications”</w:t>
      </w:r>
      <w:r>
        <w:rPr>
          <w:rFonts w:ascii="Arial" w:cs="Arial" w:eastAsia="Arial" w:hAnsi="Arial"/>
          <w:sz w:val="22"/>
          <w:szCs w:val="22"/>
          <w:color w:val="auto"/>
        </w:rPr>
        <w:t>), Section 13.8 (“</w:t>
      </w:r>
      <w:r>
        <w:rPr>
          <w:rFonts w:ascii="Arial" w:cs="Arial" w:eastAsia="Arial" w:hAnsi="Arial"/>
          <w:sz w:val="22"/>
          <w:szCs w:val="22"/>
          <w:i w:val="1"/>
          <w:iCs w:val="1"/>
          <w:color w:val="auto"/>
        </w:rPr>
        <w:t>No Strict Construction”</w:t>
      </w:r>
      <w:r>
        <w:rPr>
          <w:rFonts w:ascii="Arial" w:cs="Arial" w:eastAsia="Arial" w:hAnsi="Arial"/>
          <w:sz w:val="22"/>
          <w:szCs w:val="22"/>
          <w:color w:val="auto"/>
        </w:rPr>
        <w:t>), Section 13.9 (“</w:t>
      </w:r>
      <w:r>
        <w:rPr>
          <w:rFonts w:ascii="Arial" w:cs="Arial" w:eastAsia="Arial" w:hAnsi="Arial"/>
          <w:sz w:val="22"/>
          <w:szCs w:val="22"/>
          <w:i w:val="1"/>
          <w:iCs w:val="1"/>
          <w:color w:val="auto"/>
        </w:rPr>
        <w:t>Independent Contractor”</w:t>
      </w:r>
      <w:r>
        <w:rPr>
          <w:rFonts w:ascii="Arial" w:cs="Arial" w:eastAsia="Arial" w:hAnsi="Arial"/>
          <w:sz w:val="22"/>
          <w:szCs w:val="22"/>
          <w:color w:val="auto"/>
        </w:rPr>
        <w:t>), Section 13.10 (“</w:t>
      </w:r>
      <w:r>
        <w:rPr>
          <w:rFonts w:ascii="Arial" w:cs="Arial" w:eastAsia="Arial" w:hAnsi="Arial"/>
          <w:sz w:val="22"/>
          <w:szCs w:val="22"/>
          <w:i w:val="1"/>
          <w:iCs w:val="1"/>
          <w:color w:val="auto"/>
        </w:rPr>
        <w:t>Assignment; Licensees”</w:t>
      </w:r>
      <w:r>
        <w:rPr>
          <w:rFonts w:ascii="Arial" w:cs="Arial" w:eastAsia="Arial" w:hAnsi="Arial"/>
          <w:sz w:val="22"/>
          <w:szCs w:val="22"/>
          <w:color w:val="auto"/>
        </w:rPr>
        <w:t>), Section 13.11 (“</w:t>
      </w:r>
      <w:r>
        <w:rPr>
          <w:rFonts w:ascii="Arial" w:cs="Arial" w:eastAsia="Arial" w:hAnsi="Arial"/>
          <w:sz w:val="22"/>
          <w:szCs w:val="22"/>
          <w:i w:val="1"/>
          <w:iCs w:val="1"/>
          <w:color w:val="auto"/>
        </w:rPr>
        <w:t>Headings”</w:t>
      </w:r>
      <w:r>
        <w:rPr>
          <w:rFonts w:ascii="Arial" w:cs="Arial" w:eastAsia="Arial" w:hAnsi="Arial"/>
          <w:sz w:val="22"/>
          <w:szCs w:val="22"/>
          <w:color w:val="auto"/>
        </w:rPr>
        <w:t>), Section 13.13 (“</w:t>
      </w:r>
      <w:r>
        <w:rPr>
          <w:rFonts w:ascii="Arial" w:cs="Arial" w:eastAsia="Arial" w:hAnsi="Arial"/>
          <w:sz w:val="22"/>
          <w:szCs w:val="22"/>
          <w:i w:val="1"/>
          <w:iCs w:val="1"/>
          <w:color w:val="auto"/>
        </w:rPr>
        <w:t>Severability”</w:t>
      </w:r>
      <w:r>
        <w:rPr>
          <w:rFonts w:ascii="Arial" w:cs="Arial" w:eastAsia="Arial" w:hAnsi="Arial"/>
          <w:sz w:val="22"/>
          <w:szCs w:val="22"/>
          <w:color w:val="auto"/>
        </w:rPr>
        <w:t>), Section 13.14 (“</w:t>
      </w:r>
      <w:r>
        <w:rPr>
          <w:rFonts w:ascii="Arial" w:cs="Arial" w:eastAsia="Arial" w:hAnsi="Arial"/>
          <w:sz w:val="22"/>
          <w:szCs w:val="22"/>
          <w:i w:val="1"/>
          <w:iCs w:val="1"/>
          <w:color w:val="auto"/>
        </w:rPr>
        <w:t>Further Assurance”</w:t>
      </w:r>
      <w:r>
        <w:rPr>
          <w:rFonts w:ascii="Arial" w:cs="Arial" w:eastAsia="Arial" w:hAnsi="Arial"/>
          <w:sz w:val="22"/>
          <w:szCs w:val="22"/>
          <w:color w:val="auto"/>
        </w:rPr>
        <w:t>), Section 13.15 (“</w:t>
      </w:r>
      <w:r>
        <w:rPr>
          <w:rFonts w:ascii="Arial" w:cs="Arial" w:eastAsia="Arial" w:hAnsi="Arial"/>
          <w:sz w:val="22"/>
          <w:szCs w:val="22"/>
          <w:i w:val="1"/>
          <w:iCs w:val="1"/>
          <w:color w:val="auto"/>
        </w:rPr>
        <w:t>No Benefit to Third Parties”</w:t>
      </w:r>
      <w:r>
        <w:rPr>
          <w:rFonts w:ascii="Arial" w:cs="Arial" w:eastAsia="Arial" w:hAnsi="Arial"/>
          <w:sz w:val="22"/>
          <w:szCs w:val="22"/>
          <w:color w:val="auto"/>
        </w:rPr>
        <w:t>) and Section 13.16 (“</w:t>
      </w:r>
      <w:r>
        <w:rPr>
          <w:rFonts w:ascii="Arial" w:cs="Arial" w:eastAsia="Arial" w:hAnsi="Arial"/>
          <w:sz w:val="22"/>
          <w:szCs w:val="22"/>
          <w:i w:val="1"/>
          <w:iCs w:val="1"/>
          <w:color w:val="auto"/>
        </w:rPr>
        <w:t>Construction”</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 xml:space="preserve">13.1 Entire Agreement. </w:t>
      </w:r>
      <w:r>
        <w:rPr>
          <w:rFonts w:ascii="Arial" w:cs="Arial" w:eastAsia="Arial" w:hAnsi="Arial"/>
          <w:sz w:val="19"/>
          <w:szCs w:val="19"/>
          <w:color w:val="auto"/>
        </w:rPr>
        <w:t>The Parties acknowledge that this Agreement shall govern all activities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with respect to the Combined Therapy Trials from the Effective Date forward. This Agreement, including the Exhibits hereto and together with the Protocol, Quality Agreement, Statistical Analysis Plan, and Supply Agreement, sets forth the complete, final and exclusive agreement between the Parties concerning the subject matter hereof and supersedes all prior agreements and understandings between the Parties with respect to such subject matter. There are no covenants, promises, agreements, warranties, representations, conditions or understandings, either oral or written, between the Parties with respect to such subject matter other than as are set forth in this Agreement. All Exhibits attached hereto are incorporated herein as part of this Agreement.</w:t>
      </w:r>
    </w:p>
    <w:p>
      <w:pPr>
        <w:spacing w:after="0" w:line="15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b w:val="1"/>
          <w:bCs w:val="1"/>
          <w:color w:val="auto"/>
        </w:rPr>
        <w:t xml:space="preserve">13.2 Governing Law. </w:t>
      </w:r>
      <w:r>
        <w:rPr>
          <w:rFonts w:ascii="Arial" w:cs="Arial" w:eastAsia="Arial" w:hAnsi="Arial"/>
          <w:sz w:val="19"/>
          <w:szCs w:val="19"/>
          <w:color w:val="auto"/>
        </w:rPr>
        <w:t>This Agreement and all claims relating to or arising out of this Agreement or the</w:t>
      </w:r>
      <w:r>
        <w:rPr>
          <w:rFonts w:ascii="Arial" w:cs="Arial" w:eastAsia="Arial" w:hAnsi="Arial"/>
          <w:sz w:val="19"/>
          <w:szCs w:val="19"/>
          <w:b w:val="1"/>
          <w:bCs w:val="1"/>
          <w:color w:val="auto"/>
        </w:rPr>
        <w:t xml:space="preserve"> </w:t>
      </w:r>
      <w:r>
        <w:rPr>
          <w:rFonts w:ascii="Arial" w:cs="Arial" w:eastAsia="Arial" w:hAnsi="Arial"/>
          <w:sz w:val="19"/>
          <w:szCs w:val="19"/>
          <w:color w:val="auto"/>
        </w:rPr>
        <w:t>breach thereof shall be governed and construed in accordance with the internal laws of the State of New York, USA, excluding any choice of law rules that may direct the application of the laws of another jurisdiction.</w:t>
      </w:r>
    </w:p>
    <w:p>
      <w:pPr>
        <w:spacing w:after="0" w:line="123"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b w:val="1"/>
          <w:bCs w:val="1"/>
          <w:color w:val="auto"/>
        </w:rPr>
        <w:t>Dispute Resolution</w:t>
      </w:r>
      <w:r>
        <w:rPr>
          <w:rFonts w:ascii="Arial" w:cs="Arial" w:eastAsia="Arial" w:hAnsi="Arial"/>
          <w:sz w:val="19"/>
          <w:szCs w:val="19"/>
          <w:color w:val="auto"/>
        </w:rPr>
        <w:t>.</w:t>
      </w:r>
    </w:p>
    <w:p>
      <w:pPr>
        <w:spacing w:after="0" w:line="212" w:lineRule="exact"/>
        <w:rPr>
          <w:sz w:val="20"/>
          <w:szCs w:val="20"/>
          <w:color w:val="auto"/>
        </w:rPr>
      </w:pPr>
    </w:p>
    <w:p>
      <w:pPr>
        <w:jc w:val="both"/>
        <w:ind w:firstLine="1296"/>
        <w:spacing w:after="0" w:line="273" w:lineRule="auto"/>
        <w:tabs>
          <w:tab w:leader="none" w:pos="1967" w:val="left"/>
        </w:tabs>
        <w:numPr>
          <w:ilvl w:val="0"/>
          <w:numId w:val="111"/>
        </w:numPr>
        <w:rPr>
          <w:rFonts w:ascii="Arial" w:cs="Arial" w:eastAsia="Arial" w:hAnsi="Arial"/>
          <w:sz w:val="19"/>
          <w:szCs w:val="19"/>
          <w:b w:val="1"/>
          <w:bCs w:val="1"/>
          <w:color w:val="auto"/>
        </w:rPr>
      </w:pPr>
      <w:r>
        <w:rPr>
          <w:rFonts w:ascii="Arial" w:cs="Arial" w:eastAsia="Arial" w:hAnsi="Arial"/>
          <w:sz w:val="19"/>
          <w:szCs w:val="19"/>
          <w:color w:val="auto"/>
        </w:rPr>
        <w:t>In the event of any dispute, controversy or claim arising out of, relating to or in connection with any provision of this Agreement (each a “</w:t>
      </w:r>
      <w:r>
        <w:rPr>
          <w:rFonts w:ascii="Arial" w:cs="Arial" w:eastAsia="Arial" w:hAnsi="Arial"/>
          <w:sz w:val="19"/>
          <w:szCs w:val="19"/>
          <w:b w:val="1"/>
          <w:bCs w:val="1"/>
          <w:i w:val="1"/>
          <w:iCs w:val="1"/>
          <w:color w:val="auto"/>
        </w:rPr>
        <w:t>Dispute</w:t>
      </w:r>
      <w:r>
        <w:rPr>
          <w:rFonts w:ascii="Arial" w:cs="Arial" w:eastAsia="Arial" w:hAnsi="Arial"/>
          <w:sz w:val="19"/>
          <w:szCs w:val="19"/>
          <w:color w:val="auto"/>
        </w:rPr>
        <w:t>”), other than a JDC Dispute or a Publication Dispute or a dispute as to whether a Material Safety Issue exists, the Parties shall refer such Dispute promptly to the Alliance Managers for resolution. If the Alliance Managers are unable to resolve such Dispute within ten (10) calendar days after a matter has been presented to them, then upon the request of either Party by written notice, the Parties shall refer such Dispute to the Executive Officers. This Agreement shall remain in effect during the pendency of any such dispute. In the event that no resolution is made by them in good faith negotiations within ten (10) calendar days after such referral to them, such unresolved Dispute shall be referred to the Chief Executive Officer of BioXcel or his or her designee and the Chief Scientific Officer of Nektar or his or her designee for attempted resolution by good faith negotiations within fifteen (15) calendar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6" w:name="page127"/>
    <w:bookmarkEnd w:id="126"/>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9"/>
          <w:szCs w:val="19"/>
          <w:color w:val="auto"/>
        </w:rPr>
        <w:t>days after such referral is made. In the event such officers are unable to resolve such Dispute within such fifteen</w:t>
      </w:r>
    </w:p>
    <w:p>
      <w:pPr>
        <w:spacing w:after="0" w:line="43" w:lineRule="exact"/>
        <w:rPr>
          <w:sz w:val="20"/>
          <w:szCs w:val="20"/>
          <w:color w:val="auto"/>
        </w:rPr>
      </w:pPr>
    </w:p>
    <w:p>
      <w:pPr>
        <w:jc w:val="both"/>
        <w:ind w:left="1" w:hanging="1"/>
        <w:spacing w:after="0" w:line="232" w:lineRule="auto"/>
        <w:tabs>
          <w:tab w:leader="none" w:pos="44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 xml:space="preserve">calendar day period then, if such Dispute constitutes an Arbitration Matter, such Dispute shall be resolved through arbitration in accordance with Section 13.3(b);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with respect to any such Dispute that relates to a matter described in Section 13.4, either Party shall have the right to seek an injunction or other equitable relief without waiting for the expiration of such fifteen (15) calendar day negotiation period, and with respect to any JDC Dispute or Publication Dispute, the specific dispute resolution processes contained in Sections 2.8 or 9.5(b), as applicable, will apply.</w:t>
      </w:r>
    </w:p>
    <w:p>
      <w:pPr>
        <w:spacing w:after="0" w:line="189" w:lineRule="exact"/>
        <w:rPr>
          <w:rFonts w:ascii="Arial" w:cs="Arial" w:eastAsia="Arial" w:hAnsi="Arial"/>
          <w:sz w:val="22"/>
          <w:szCs w:val="22"/>
          <w:color w:val="auto"/>
        </w:rPr>
      </w:pPr>
    </w:p>
    <w:p>
      <w:pPr>
        <w:jc w:val="both"/>
        <w:ind w:left="1" w:firstLine="1296"/>
        <w:spacing w:after="0" w:line="271" w:lineRule="auto"/>
        <w:tabs>
          <w:tab w:leader="none" w:pos="1967" w:val="left"/>
        </w:tabs>
        <w:numPr>
          <w:ilvl w:val="1"/>
          <w:numId w:val="112"/>
        </w:numPr>
        <w:rPr>
          <w:rFonts w:ascii="Arial" w:cs="Arial" w:eastAsia="Arial" w:hAnsi="Arial"/>
          <w:sz w:val="19"/>
          <w:szCs w:val="19"/>
          <w:b w:val="1"/>
          <w:bCs w:val="1"/>
          <w:color w:val="auto"/>
        </w:rPr>
      </w:pPr>
      <w:r>
        <w:rPr>
          <w:rFonts w:ascii="Arial" w:cs="Arial" w:eastAsia="Arial" w:hAnsi="Arial"/>
          <w:sz w:val="19"/>
          <w:szCs w:val="19"/>
          <w:color w:val="auto"/>
        </w:rPr>
        <w:t>If a Dispute that constitutes an Arbitration Matter remains unresolved after escalation to the senior executives as described above, either Party may refer the matter to arbitration as described herein, the results of which shall be binding upon the Parties. Any arbitration under this Agreement shall be conducted under the auspices of the American Arbitration Association (“</w:t>
      </w:r>
      <w:r>
        <w:rPr>
          <w:rFonts w:ascii="Arial" w:cs="Arial" w:eastAsia="Arial" w:hAnsi="Arial"/>
          <w:sz w:val="19"/>
          <w:szCs w:val="19"/>
          <w:b w:val="1"/>
          <w:bCs w:val="1"/>
          <w:i w:val="1"/>
          <w:iCs w:val="1"/>
          <w:color w:val="auto"/>
        </w:rPr>
        <w:t>AAA</w:t>
      </w:r>
      <w:r>
        <w:rPr>
          <w:rFonts w:ascii="Arial" w:cs="Arial" w:eastAsia="Arial" w:hAnsi="Arial"/>
          <w:sz w:val="19"/>
          <w:szCs w:val="19"/>
          <w:color w:val="auto"/>
        </w:rPr>
        <w:t xml:space="preserve">”) by a panel of three (3) arbitrators pursuant to that organization’s Commercial Arbitration Rules then in effect;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Parties hereby agree that the time schedule for the appointment of arbitrators and the time schedule for submission of the statement of defense shall follow the American Arbitration Association Arbitration Rules. The fees and expenses of the arbitrators shall be borne in equal shares by the Parties. Each Party shall bear the fees and expenses of its legal representation in the arbitration. The arbitral tribunal shall not reallocate either the fees and expenses of the arbitrators or of the Parties’ legal representation. The arbitration shall be held in New York, New York, USA, which shall be the seat of the arbitration. The language of the arbitration shall be English. Notwithstanding anything to the contrary in this Agreement, each Party shall be entitled to recover its attorneys’ fees and arbitration fees and expenses to the extent it is successful in bringing an action to enforce its rights to indemnification under this Agreement against the other Party.</w:t>
      </w:r>
    </w:p>
    <w:p>
      <w:pPr>
        <w:spacing w:after="0" w:line="200" w:lineRule="exact"/>
        <w:rPr>
          <w:sz w:val="20"/>
          <w:szCs w:val="20"/>
          <w:color w:val="auto"/>
        </w:rPr>
      </w:pPr>
    </w:p>
    <w:p>
      <w:pPr>
        <w:spacing w:after="0" w:line="206" w:lineRule="exact"/>
        <w:rPr>
          <w:sz w:val="20"/>
          <w:szCs w:val="20"/>
          <w:color w:val="auto"/>
        </w:rPr>
      </w:pPr>
    </w:p>
    <w:p>
      <w:pPr>
        <w:jc w:val="both"/>
        <w:ind w:left="1" w:firstLine="648"/>
        <w:spacing w:after="0" w:line="274" w:lineRule="auto"/>
        <w:rPr>
          <w:sz w:val="20"/>
          <w:szCs w:val="20"/>
          <w:color w:val="auto"/>
        </w:rPr>
      </w:pPr>
      <w:r>
        <w:rPr>
          <w:rFonts w:ascii="Arial" w:cs="Arial" w:eastAsia="Arial" w:hAnsi="Arial"/>
          <w:sz w:val="19"/>
          <w:szCs w:val="19"/>
          <w:b w:val="1"/>
          <w:bCs w:val="1"/>
          <w:color w:val="auto"/>
        </w:rPr>
        <w:t xml:space="preserve">13.4 Injunctive Relief. </w:t>
      </w:r>
      <w:r>
        <w:rPr>
          <w:rFonts w:ascii="Arial" w:cs="Arial" w:eastAsia="Arial" w:hAnsi="Arial"/>
          <w:sz w:val="19"/>
          <w:szCs w:val="19"/>
          <w:color w:val="auto"/>
        </w:rPr>
        <w:t>Notwithstanding anything herein to the contrary, a Party may seek an injunction</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injunctive relief from any court of competent jurisdiction in order to prevent immediate and irreparable injury, loss or damage on a provisional basis. For the avoidance of doubt, if either Party (a) discloses Confidential Information of the other Party other than as permitted under Article 9, (b) uses (in the case of BioXcel) the Nektar Compound or Nektar Technology or (in the case of Nektar) the BioXcel Compound or BioXcel Technology in any manner other than as expressly permitted under this Agreement or (c) otherwise is in material breach of this Agreement and such material breach could cause immediate harm to the value of the BioXcel Compound (by Nektar) or the Nektar Compound (by BioXcel), the other Party shall have the right to seek an injunction or other equitable relief precluding the other Party from continuing its activities related to the applicable activity without waiting for the conclusion of the dispute resolution procedures under Section 13.3.</w:t>
      </w:r>
    </w:p>
    <w:p>
      <w:pPr>
        <w:spacing w:after="0" w:line="153"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22"/>
          <w:szCs w:val="22"/>
          <w:b w:val="1"/>
          <w:bCs w:val="1"/>
          <w:color w:val="auto"/>
        </w:rPr>
        <w:t xml:space="preserve">13.5 Force Majeure. </w:t>
      </w:r>
      <w:r>
        <w:rPr>
          <w:rFonts w:ascii="Arial" w:cs="Arial" w:eastAsia="Arial" w:hAnsi="Arial"/>
          <w:sz w:val="22"/>
          <w:szCs w:val="22"/>
          <w:color w:val="auto"/>
        </w:rPr>
        <w:t>The Parties shall be excused from the performance of their obligations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(other than the payment of monies owed to the other Party) to the extent that such performance is prevented by force majeure and the non-performing Party promptly provides notice of the prevention to the other Party. Such excuse shall be continued so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27" w:name="page128"/>
    <w:bookmarkEnd w:id="127"/>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long as the condition constituting force majeure continues and the nonperforming Party takes reasonable efforts to remove the condition. For purposes of this Agreement, force majeure shall mean acts of God, strikes or other concerted acts of workers (except for strikes or other concerted acts of a Party’s respective workers), civil disturbances, fires, earthquakes, acts of terrorism, floods, explosions, riots, war, rebellion, sabotage or failure or default of public utilities or common carriers or similar conditions beyond the control of the Parties.</w:t>
      </w:r>
    </w:p>
    <w:p>
      <w:pPr>
        <w:spacing w:after="0" w:line="14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13.6 Notices. </w:t>
      </w:r>
      <w:r>
        <w:rPr>
          <w:rFonts w:ascii="Arial" w:cs="Arial" w:eastAsia="Arial" w:hAnsi="Arial"/>
          <w:sz w:val="21"/>
          <w:szCs w:val="21"/>
          <w:color w:val="auto"/>
        </w:rPr>
        <w:t>Any notice required or permitted to be given under this Agreement shall be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shall specifically refer to this Agreement and shall be deemed to have been sufficiently given for all purposes if such notice is timely and is:(a) mailed by first class certified or registered mail, postage prepaid, return receipt requested, (b) sent by express delivery service, or (c) personally delivered. Unless otherwise specified in writing, the mailing addresses of the Parties shall be as described below.</w:t>
      </w:r>
    </w:p>
    <w:p>
      <w:pPr>
        <w:sectPr>
          <w:pgSz w:w="11900" w:h="16838" w:orient="portrait"/>
          <w:cols w:equalWidth="0" w:num="1">
            <w:col w:w="10060"/>
          </w:cols>
          <w:pgMar w:left="920" w:top="118" w:right="919" w:bottom="1440" w:gutter="0" w:footer="0" w:header="0"/>
        </w:sectPr>
      </w:pP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BioXcel:</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BioXcel Therapeutics</w:t>
      </w:r>
    </w:p>
    <w:p>
      <w:pPr>
        <w:spacing w:after="0" w:line="238" w:lineRule="auto"/>
        <w:rPr>
          <w:sz w:val="20"/>
          <w:szCs w:val="20"/>
          <w:color w:val="auto"/>
        </w:rPr>
      </w:pPr>
      <w:r>
        <w:rPr>
          <w:rFonts w:ascii="Arial" w:cs="Arial" w:eastAsia="Arial" w:hAnsi="Arial"/>
          <w:sz w:val="22"/>
          <w:szCs w:val="22"/>
          <w:color w:val="auto"/>
        </w:rPr>
        <w:t>555 Long Wharf Drive</w:t>
      </w:r>
    </w:p>
    <w:p>
      <w:pPr>
        <w:spacing w:after="0" w:line="230" w:lineRule="auto"/>
        <w:rPr>
          <w:sz w:val="20"/>
          <w:szCs w:val="20"/>
          <w:color w:val="auto"/>
        </w:rPr>
      </w:pPr>
      <w:r>
        <w:rPr>
          <w:rFonts w:ascii="Arial" w:cs="Arial" w:eastAsia="Arial" w:hAnsi="Arial"/>
          <w:sz w:val="22"/>
          <w:szCs w:val="22"/>
          <w:color w:val="auto"/>
        </w:rPr>
        <w:t>5th Floor</w:t>
      </w:r>
    </w:p>
    <w:p>
      <w:pPr>
        <w:spacing w:after="0" w:line="231" w:lineRule="auto"/>
        <w:rPr>
          <w:sz w:val="20"/>
          <w:szCs w:val="20"/>
          <w:color w:val="auto"/>
        </w:rPr>
      </w:pPr>
      <w:r>
        <w:rPr>
          <w:rFonts w:ascii="Arial" w:cs="Arial" w:eastAsia="Arial" w:hAnsi="Arial"/>
          <w:sz w:val="22"/>
          <w:szCs w:val="22"/>
          <w:color w:val="auto"/>
        </w:rPr>
        <w:t>New Haven, CT 06405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Vimal Mehta, Ph.D.</w:t>
      </w:r>
    </w:p>
    <w:p>
      <w:pPr>
        <w:spacing w:after="0" w:line="200" w:lineRule="exact"/>
        <w:rPr>
          <w:sz w:val="20"/>
          <w:szCs w:val="20"/>
          <w:color w:val="auto"/>
        </w:rPr>
      </w:pPr>
    </w:p>
    <w:p>
      <w:pPr>
        <w:sectPr>
          <w:pgSz w:w="11900" w:h="16838" w:orient="portrait"/>
          <w:cols w:equalWidth="0" w:num="2">
            <w:col w:w="2140" w:space="720"/>
            <w:col w:w="7200"/>
          </w:cols>
          <w:pgMar w:left="920" w:top="118" w:right="919" w:bottom="1440" w:gutter="0" w:footer="0" w:header="0"/>
          <w:type w:val="continuous"/>
        </w:sectPr>
      </w:pPr>
    </w:p>
    <w:p>
      <w:pPr>
        <w:spacing w:after="0" w:line="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BioXcel Therapeutics</w:t>
      </w:r>
    </w:p>
    <w:p>
      <w:pPr>
        <w:spacing w:after="0" w:line="238" w:lineRule="auto"/>
        <w:rPr>
          <w:sz w:val="20"/>
          <w:szCs w:val="20"/>
          <w:color w:val="auto"/>
        </w:rPr>
      </w:pPr>
      <w:r>
        <w:rPr>
          <w:rFonts w:ascii="Arial" w:cs="Arial" w:eastAsia="Arial" w:hAnsi="Arial"/>
          <w:sz w:val="22"/>
          <w:szCs w:val="22"/>
          <w:color w:val="auto"/>
        </w:rPr>
        <w:t>555 Long Wharf Drive</w:t>
      </w:r>
    </w:p>
    <w:p>
      <w:pPr>
        <w:spacing w:after="0" w:line="230" w:lineRule="auto"/>
        <w:rPr>
          <w:sz w:val="20"/>
          <w:szCs w:val="20"/>
          <w:color w:val="auto"/>
        </w:rPr>
      </w:pPr>
      <w:r>
        <w:rPr>
          <w:rFonts w:ascii="Arial" w:cs="Arial" w:eastAsia="Arial" w:hAnsi="Arial"/>
          <w:sz w:val="22"/>
          <w:szCs w:val="22"/>
          <w:color w:val="auto"/>
        </w:rPr>
        <w:t>5th Floor</w:t>
      </w:r>
    </w:p>
    <w:p>
      <w:pPr>
        <w:spacing w:after="0" w:line="231" w:lineRule="auto"/>
        <w:rPr>
          <w:sz w:val="20"/>
          <w:szCs w:val="20"/>
          <w:color w:val="auto"/>
        </w:rPr>
      </w:pPr>
      <w:r>
        <w:rPr>
          <w:rFonts w:ascii="Arial" w:cs="Arial" w:eastAsia="Arial" w:hAnsi="Arial"/>
          <w:sz w:val="22"/>
          <w:szCs w:val="22"/>
          <w:color w:val="auto"/>
        </w:rPr>
        <w:t>New Haven, CT 06405</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200" w:lineRule="exact"/>
        <w:rPr>
          <w:sz w:val="20"/>
          <w:szCs w:val="20"/>
          <w:color w:val="auto"/>
        </w:rPr>
      </w:pPr>
    </w:p>
    <w:p>
      <w:pPr>
        <w:sectPr>
          <w:pgSz w:w="11900" w:h="16838" w:orient="portrait"/>
          <w:cols w:equalWidth="0" w:num="2">
            <w:col w:w="2140" w:space="720"/>
            <w:col w:w="7200"/>
          </w:cols>
          <w:pgMar w:left="920" w:top="118" w:right="919" w:bottom="1440" w:gutter="0" w:footer="0" w:header="0"/>
          <w:type w:val="continuous"/>
        </w:sectPr>
      </w:pPr>
    </w:p>
    <w:p>
      <w:pPr>
        <w:spacing w:after="0" w:line="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Nektar: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color w:val="auto"/>
        </w:rPr>
        <w:t>Nektar Therapeutics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455 Mission Bay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94158</w:t>
      </w:r>
    </w:p>
    <w:p>
      <w:pPr>
        <w:spacing w:after="0"/>
        <w:rPr>
          <w:sz w:val="20"/>
          <w:szCs w:val="20"/>
          <w:color w:val="auto"/>
        </w:rPr>
      </w:pPr>
      <w:r>
        <w:rPr>
          <w:rFonts w:ascii="Arial" w:cs="Arial" w:eastAsia="Arial" w:hAnsi="Arial"/>
          <w:sz w:val="21"/>
          <w:szCs w:val="21"/>
          <w:color w:val="auto"/>
        </w:rPr>
        <w:t>Attention: Chief Medical Officer</w:t>
      </w:r>
    </w:p>
    <w:p>
      <w:pPr>
        <w:spacing w:after="0" w:line="200" w:lineRule="exact"/>
        <w:rPr>
          <w:sz w:val="20"/>
          <w:szCs w:val="20"/>
          <w:color w:val="auto"/>
        </w:rPr>
      </w:pPr>
    </w:p>
    <w:p>
      <w:pPr>
        <w:sectPr>
          <w:pgSz w:w="11900" w:h="16838" w:orient="portrait"/>
          <w:cols w:equalWidth="0" w:num="2">
            <w:col w:w="2140" w:space="720"/>
            <w:col w:w="7200"/>
          </w:cols>
          <w:pgMar w:left="920" w:top="118" w:right="919" w:bottom="144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a copy to: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Nektar Therapeutics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455 Mission Bay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San Francisco, CA 94158</w:t>
      </w:r>
    </w:p>
    <w:p>
      <w:pPr>
        <w:spacing w:after="0"/>
        <w:rPr>
          <w:sz w:val="20"/>
          <w:szCs w:val="20"/>
          <w:color w:val="auto"/>
        </w:rPr>
      </w:pPr>
      <w:r>
        <w:rPr>
          <w:rFonts w:ascii="Arial" w:cs="Arial" w:eastAsia="Arial" w:hAnsi="Arial"/>
          <w:sz w:val="22"/>
          <w:szCs w:val="22"/>
          <w:color w:val="auto"/>
        </w:rPr>
        <w:t>Attention: General Counsel</w:t>
      </w:r>
    </w:p>
    <w:p>
      <w:pPr>
        <w:spacing w:after="0" w:line="200" w:lineRule="exact"/>
        <w:rPr>
          <w:sz w:val="20"/>
          <w:szCs w:val="20"/>
          <w:color w:val="auto"/>
        </w:rPr>
      </w:pPr>
    </w:p>
    <w:p>
      <w:pPr>
        <w:sectPr>
          <w:pgSz w:w="11900" w:h="16838" w:orient="portrait"/>
          <w:cols w:equalWidth="0" w:num="2">
            <w:col w:w="2140" w:space="720"/>
            <w:col w:w="7200"/>
          </w:cols>
          <w:pgMar w:left="920" w:top="118" w:right="919" w:bottom="1440" w:gutter="0" w:footer="0" w:header="0"/>
          <w:type w:val="continuous"/>
        </w:sectPr>
      </w:pP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Any such communication shall be deemed to have been received when delivered. It is understood and agreed that this Section 13.6 is not intended to govern the day-to-day business communications necessary between the Parties in performing their duties, in due course, under the terms of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type w:val="continuous"/>
        </w:sectPr>
      </w:pPr>
    </w:p>
    <w:bookmarkStart w:id="128" w:name="page129"/>
    <w:bookmarkEnd w:id="128"/>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13.7 No Waiver; Modifications. </w:t>
      </w:r>
      <w:r>
        <w:rPr>
          <w:rFonts w:ascii="Arial" w:cs="Arial" w:eastAsia="Arial" w:hAnsi="Arial"/>
          <w:sz w:val="19"/>
          <w:szCs w:val="19"/>
          <w:color w:val="auto"/>
        </w:rPr>
        <w:t>It is agreed that no waiver by a Party hereto of any breach or default of</w:t>
      </w:r>
      <w:r>
        <w:rPr>
          <w:rFonts w:ascii="Arial" w:cs="Arial" w:eastAsia="Arial" w:hAnsi="Arial"/>
          <w:sz w:val="19"/>
          <w:szCs w:val="19"/>
          <w:b w:val="1"/>
          <w:bCs w:val="1"/>
          <w:color w:val="auto"/>
        </w:rPr>
        <w:t xml:space="preserve"> </w:t>
      </w:r>
      <w:r>
        <w:rPr>
          <w:rFonts w:ascii="Arial" w:cs="Arial" w:eastAsia="Arial" w:hAnsi="Arial"/>
          <w:sz w:val="19"/>
          <w:szCs w:val="19"/>
          <w:color w:val="auto"/>
        </w:rPr>
        <w:t>any of the covenants or agreements herein set forth shall be deemed a waiver as to any subsequent and/or similar breach or default. The failure of either Party to insist on the performance of any obligation hereunder shall not be deemed to be a waiver of any such obligation. No amendment, modification, release or discharge to this Agreement, the Quality Agreement or any material amendment, modification, release or discharge to a Bioanalysis Plan, a Statistical Analysis Plan, or a CRO Agreement (to the extent provided in Section 2.4(o)) shall be binding upon the Parties unless in writing and duly executed by authorized representatives of both Parties.</w:t>
      </w:r>
    </w:p>
    <w:p>
      <w:pPr>
        <w:spacing w:after="0" w:line="14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13.8 No Strict Construction. </w:t>
      </w:r>
      <w:r>
        <w:rPr>
          <w:rFonts w:ascii="Arial" w:cs="Arial" w:eastAsia="Arial" w:hAnsi="Arial"/>
          <w:sz w:val="22"/>
          <w:szCs w:val="22"/>
          <w:color w:val="auto"/>
        </w:rPr>
        <w:t>This Agreement has been prepared jointly and shall not be strictly</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against either Party.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8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 xml:space="preserve">13.9 Independent Contractor; No BioXcel Third Party Beneficiary Rights. </w:t>
      </w:r>
      <w:r>
        <w:rPr>
          <w:rFonts w:ascii="Arial" w:cs="Arial" w:eastAsia="Arial" w:hAnsi="Arial"/>
          <w:sz w:val="22"/>
          <w:szCs w:val="22"/>
          <w:color w:val="auto"/>
        </w:rPr>
        <w:t>The Parties are</w:t>
      </w:r>
      <w:r>
        <w:rPr>
          <w:rFonts w:ascii="Arial" w:cs="Arial" w:eastAsia="Arial" w:hAnsi="Arial"/>
          <w:sz w:val="22"/>
          <w:szCs w:val="22"/>
          <w:b w:val="1"/>
          <w:bCs w:val="1"/>
          <w:color w:val="auto"/>
        </w:rPr>
        <w:t xml:space="preserve"> </w:t>
      </w:r>
      <w:r>
        <w:rPr>
          <w:rFonts w:ascii="Arial" w:cs="Arial" w:eastAsia="Arial" w:hAnsi="Arial"/>
          <w:sz w:val="22"/>
          <w:szCs w:val="22"/>
          <w:color w:val="auto"/>
        </w:rPr>
        <w:t>independent contractors of each other, and the relationship between the Parties shall not constitute a partnership, joint venture or agency. Neither Party shall be the agent of the other or have any authority to act for, or on behalf of, the other Party in any matter. BioXcel shall not be a third party beneficiary under any agreement between Nektar and BMS, including without limitation the SCA.</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13.10  Assignment; Licensees</w:t>
      </w:r>
      <w:r>
        <w:rPr>
          <w:rFonts w:ascii="Arial" w:cs="Arial" w:eastAsia="Arial" w:hAnsi="Arial"/>
          <w:sz w:val="22"/>
          <w:szCs w:val="22"/>
          <w:color w:val="auto"/>
        </w:rPr>
        <w:t>.</w:t>
      </w:r>
    </w:p>
    <w:p>
      <w:pPr>
        <w:spacing w:after="0" w:line="206" w:lineRule="exact"/>
        <w:rPr>
          <w:sz w:val="20"/>
          <w:szCs w:val="20"/>
          <w:color w:val="auto"/>
        </w:rPr>
      </w:pPr>
    </w:p>
    <w:p>
      <w:pPr>
        <w:jc w:val="both"/>
        <w:ind w:firstLine="1296"/>
        <w:spacing w:after="0" w:line="276" w:lineRule="auto"/>
        <w:tabs>
          <w:tab w:leader="none" w:pos="1861"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Assignment. </w:t>
      </w:r>
      <w:r>
        <w:rPr>
          <w:rFonts w:ascii="Arial" w:cs="Arial" w:eastAsia="Arial" w:hAnsi="Arial"/>
          <w:sz w:val="19"/>
          <w:szCs w:val="19"/>
          <w:color w:val="auto"/>
        </w:rPr>
        <w:t>Neither Party may assign or transfer this Agreement or any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hereunder without the prior written consent of the other Party, </w:t>
      </w:r>
      <w:r>
        <w:rPr>
          <w:rFonts w:ascii="Arial" w:cs="Arial" w:eastAsia="Arial" w:hAnsi="Arial"/>
          <w:sz w:val="19"/>
          <w:szCs w:val="19"/>
          <w:i w:val="1"/>
          <w:iCs w:val="1"/>
          <w:color w:val="auto"/>
        </w:rPr>
        <w:t>except</w:t>
      </w:r>
      <w:r>
        <w:rPr>
          <w:rFonts w:ascii="Arial" w:cs="Arial" w:eastAsia="Arial" w:hAnsi="Arial"/>
          <w:sz w:val="19"/>
          <w:szCs w:val="19"/>
          <w:color w:val="auto"/>
        </w:rPr>
        <w:t xml:space="preserve"> that a Party may make such an assignment without the other Party’s consent, provided that such Party provide written notice of such assignment to the other Party within thirty (30) calendar days of such assignment, (a) to an Affiliate, (b) to a Third Party that merges with, consolidates with or acquires substantially all of the assets or voting control of the assigning Party or (c) to a Third Party that acquires all the rights to the BioXcel Compound, in the case of BioXcel, or the Nektar Compound, in the case of Nektar. Any assignment or attempted assignment by any Party in violation of the terms of this Section 13.10 shall be null and void and of no legal effect.</w:t>
      </w:r>
    </w:p>
    <w:p>
      <w:pPr>
        <w:spacing w:after="0" w:line="150" w:lineRule="exact"/>
        <w:rPr>
          <w:rFonts w:ascii="Arial" w:cs="Arial" w:eastAsia="Arial" w:hAnsi="Arial"/>
          <w:sz w:val="19"/>
          <w:szCs w:val="19"/>
          <w:b w:val="1"/>
          <w:bCs w:val="1"/>
          <w:color w:val="auto"/>
        </w:rPr>
      </w:pPr>
    </w:p>
    <w:p>
      <w:pPr>
        <w:jc w:val="both"/>
        <w:ind w:firstLine="1296"/>
        <w:spacing w:after="0" w:line="237" w:lineRule="auto"/>
        <w:tabs>
          <w:tab w:leader="none" w:pos="1921"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Licensees. </w:t>
      </w:r>
      <w:r>
        <w:rPr>
          <w:rFonts w:ascii="Arial" w:cs="Arial" w:eastAsia="Arial" w:hAnsi="Arial"/>
          <w:sz w:val="22"/>
          <w:szCs w:val="22"/>
          <w:color w:val="auto"/>
        </w:rPr>
        <w:t>If a Party grants its or the other Party’s Affiliate or a Third Party a license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a license solely to make a Product for a Party) to develop and commercialize its Single Agent Compound on a worldwide basis or in any geographic region and/or for all purposes or a limited field, (a “</w:t>
      </w:r>
      <w:r>
        <w:rPr>
          <w:rFonts w:ascii="Arial" w:cs="Arial" w:eastAsia="Arial" w:hAnsi="Arial"/>
          <w:sz w:val="22"/>
          <w:szCs w:val="22"/>
          <w:b w:val="1"/>
          <w:bCs w:val="1"/>
          <w:color w:val="auto"/>
        </w:rPr>
        <w:t>Licensee</w:t>
      </w:r>
      <w:r>
        <w:rPr>
          <w:rFonts w:ascii="Arial" w:cs="Arial" w:eastAsia="Arial" w:hAnsi="Arial"/>
          <w:sz w:val="22"/>
          <w:szCs w:val="22"/>
          <w:color w:val="auto"/>
        </w:rPr>
        <w:t>”), such Party will obtain the Licensee’s agreement to abide by the terms of this Agreement in the same manner as the licensor Party.</w:t>
      </w:r>
    </w:p>
    <w:p>
      <w:pPr>
        <w:spacing w:after="0" w:line="183"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b w:val="1"/>
          <w:bCs w:val="1"/>
          <w:color w:val="auto"/>
        </w:rPr>
        <w:t xml:space="preserve">13.11 Headings. </w:t>
      </w:r>
      <w:r>
        <w:rPr>
          <w:rFonts w:ascii="Arial" w:cs="Arial" w:eastAsia="Arial" w:hAnsi="Arial"/>
          <w:sz w:val="19"/>
          <w:szCs w:val="19"/>
          <w:color w:val="auto"/>
        </w:rPr>
        <w:t>The captions to the several Sections and Articles hereof are not a part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but are included merely for convenience of reference only and shall not affect its meaning or interpretation.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9" w:name="page130"/>
    <w:bookmarkEnd w:id="129"/>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22"/>
          <w:szCs w:val="22"/>
          <w:b w:val="1"/>
          <w:bCs w:val="1"/>
          <w:color w:val="auto"/>
        </w:rPr>
        <w:t xml:space="preserve">13.12 Counterparts. </w:t>
      </w:r>
      <w:r>
        <w:rPr>
          <w:rFonts w:ascii="Arial" w:cs="Arial" w:eastAsia="Arial" w:hAnsi="Arial"/>
          <w:sz w:val="22"/>
          <w:szCs w:val="22"/>
          <w:color w:val="auto"/>
        </w:rPr>
        <w:t>This Agreement may be executed in two (2) or more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an original, but all of which together shall constitute one (1) and the same instrument. This Agreement may be executed by facsimile or electronic (e.g., .pdf) signatures and such signatures shall be deemed to bind each Party hereto as if they were original signatures.</w:t>
      </w:r>
    </w:p>
    <w:p>
      <w:pPr>
        <w:spacing w:after="0" w:line="181" w:lineRule="exact"/>
        <w:rPr>
          <w:sz w:val="20"/>
          <w:szCs w:val="20"/>
          <w:color w:val="auto"/>
        </w:rPr>
      </w:pPr>
    </w:p>
    <w:p>
      <w:pPr>
        <w:jc w:val="both"/>
        <w:ind w:left="1" w:firstLine="648"/>
        <w:spacing w:after="0" w:line="253" w:lineRule="auto"/>
        <w:rPr>
          <w:sz w:val="20"/>
          <w:szCs w:val="20"/>
          <w:color w:val="auto"/>
        </w:rPr>
      </w:pPr>
      <w:r>
        <w:rPr>
          <w:rFonts w:ascii="Arial" w:cs="Arial" w:eastAsia="Arial" w:hAnsi="Arial"/>
          <w:sz w:val="21"/>
          <w:szCs w:val="21"/>
          <w:b w:val="1"/>
          <w:bCs w:val="1"/>
          <w:color w:val="auto"/>
        </w:rPr>
        <w:t xml:space="preserve">13.13 Severability. </w:t>
      </w:r>
      <w:r>
        <w:rPr>
          <w:rFonts w:ascii="Arial" w:cs="Arial" w:eastAsia="Arial" w:hAnsi="Arial"/>
          <w:sz w:val="21"/>
          <w:szCs w:val="21"/>
          <w:color w:val="auto"/>
        </w:rPr>
        <w:t>If any provision of this Agreement is held to be illegal, invalid or unenforceable</w:t>
      </w:r>
      <w:r>
        <w:rPr>
          <w:rFonts w:ascii="Arial" w:cs="Arial" w:eastAsia="Arial" w:hAnsi="Arial"/>
          <w:sz w:val="21"/>
          <w:szCs w:val="21"/>
          <w:b w:val="1"/>
          <w:bCs w:val="1"/>
          <w:color w:val="auto"/>
        </w:rPr>
        <w:t xml:space="preserve"> </w:t>
      </w:r>
      <w:r>
        <w:rPr>
          <w:rFonts w:ascii="Arial" w:cs="Arial" w:eastAsia="Arial" w:hAnsi="Arial"/>
          <w:sz w:val="21"/>
          <w:szCs w:val="21"/>
          <w:color w:val="auto"/>
        </w:rPr>
        <w:t>under any present or future law, and if the rights or obligations of a Party under this Agreement will not be</w:t>
      </w:r>
    </w:p>
    <w:p>
      <w:pPr>
        <w:spacing w:after="0" w:line="1" w:lineRule="exact"/>
        <w:rPr>
          <w:sz w:val="20"/>
          <w:szCs w:val="20"/>
          <w:color w:val="auto"/>
        </w:rPr>
      </w:pPr>
    </w:p>
    <w:p>
      <w:pPr>
        <w:jc w:val="both"/>
        <w:ind w:left="1"/>
        <w:spacing w:after="0" w:line="267" w:lineRule="auto"/>
        <w:rPr>
          <w:sz w:val="20"/>
          <w:szCs w:val="20"/>
          <w:color w:val="auto"/>
        </w:rPr>
      </w:pPr>
      <w:r>
        <w:rPr>
          <w:rFonts w:ascii="Arial" w:cs="Arial" w:eastAsia="Arial" w:hAnsi="Arial"/>
          <w:sz w:val="19"/>
          <w:szCs w:val="19"/>
          <w:color w:val="auto"/>
        </w:rPr>
        <w:t>materially and adversely affected thereby, (a) such provision shall be fully severable, (b) this Agreement shall be construed and enforced as if such illegal, invalid or unenforceable provision had never comprised a part hereof,</w:t>
      </w:r>
    </w:p>
    <w:p>
      <w:pPr>
        <w:jc w:val="both"/>
        <w:ind w:left="1" w:hanging="1"/>
        <w:spacing w:after="0" w:line="233" w:lineRule="auto"/>
        <w:tabs>
          <w:tab w:leader="none" w:pos="30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w:t>
      </w:r>
    </w:p>
    <w:p>
      <w:pPr>
        <w:spacing w:after="0" w:line="180"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22"/>
          <w:szCs w:val="22"/>
          <w:b w:val="1"/>
          <w:bCs w:val="1"/>
          <w:color w:val="auto"/>
        </w:rPr>
        <w:t xml:space="preserve">13.14 Further Assurance. </w:t>
      </w:r>
      <w:r>
        <w:rPr>
          <w:rFonts w:ascii="Arial" w:cs="Arial" w:eastAsia="Arial" w:hAnsi="Arial"/>
          <w:sz w:val="22"/>
          <w:szCs w:val="22"/>
          <w:color w:val="auto"/>
        </w:rPr>
        <w:t>Each Party shall duly execute and deliver, or cause to be duly executed and</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such further instruments and do and cause to be done such further acts and things, including the filing of such assignments, agreements, documents and instruments, as may be necessary or as the other Party may reasonably request in order to perfect any license, assignment or other transfer or any properties or rights under, or pursuant, to this Agreement.</w:t>
      </w:r>
    </w:p>
    <w:p>
      <w:pPr>
        <w:spacing w:after="0" w:line="183" w:lineRule="exact"/>
        <w:rPr>
          <w:sz w:val="20"/>
          <w:szCs w:val="20"/>
          <w:color w:val="auto"/>
        </w:rPr>
      </w:pPr>
    </w:p>
    <w:p>
      <w:pPr>
        <w:jc w:val="both"/>
        <w:ind w:left="1" w:firstLine="648"/>
        <w:spacing w:after="0" w:line="243" w:lineRule="auto"/>
        <w:rPr>
          <w:sz w:val="20"/>
          <w:szCs w:val="20"/>
          <w:color w:val="auto"/>
        </w:rPr>
      </w:pPr>
      <w:r>
        <w:rPr>
          <w:rFonts w:ascii="Arial" w:cs="Arial" w:eastAsia="Arial" w:hAnsi="Arial"/>
          <w:sz w:val="22"/>
          <w:szCs w:val="22"/>
          <w:b w:val="1"/>
          <w:bCs w:val="1"/>
          <w:color w:val="auto"/>
        </w:rPr>
        <w:t xml:space="preserve">13.15 No Benefit to Third Parties. </w:t>
      </w:r>
      <w:r>
        <w:rPr>
          <w:rFonts w:ascii="Arial" w:cs="Arial" w:eastAsia="Arial" w:hAnsi="Arial"/>
          <w:sz w:val="22"/>
          <w:szCs w:val="22"/>
          <w:color w:val="auto"/>
        </w:rPr>
        <w:t>The representations, warranties and agreements set forth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are for the sole benefit of the Parties and their successors and permitted assigns, and they shall not be construed as conferring any rights on any other parties.</w:t>
      </w:r>
    </w:p>
    <w:p>
      <w:pPr>
        <w:spacing w:after="0" w:line="177" w:lineRule="exact"/>
        <w:rPr>
          <w:sz w:val="20"/>
          <w:szCs w:val="20"/>
          <w:color w:val="auto"/>
        </w:rPr>
      </w:pPr>
    </w:p>
    <w:p>
      <w:pPr>
        <w:ind w:left="641"/>
        <w:spacing w:after="0"/>
        <w:rPr>
          <w:sz w:val="20"/>
          <w:szCs w:val="20"/>
          <w:color w:val="auto"/>
        </w:rPr>
      </w:pPr>
      <w:r>
        <w:rPr>
          <w:rFonts w:ascii="Arial" w:cs="Arial" w:eastAsia="Arial" w:hAnsi="Arial"/>
          <w:sz w:val="22"/>
          <w:szCs w:val="22"/>
          <w:b w:val="1"/>
          <w:bCs w:val="1"/>
          <w:color w:val="auto"/>
        </w:rPr>
        <w:t>13.16  Construction</w:t>
      </w:r>
      <w:r>
        <w:rPr>
          <w:rFonts w:ascii="Arial" w:cs="Arial" w:eastAsia="Arial" w:hAnsi="Arial"/>
          <w:sz w:val="22"/>
          <w:szCs w:val="22"/>
          <w:color w:val="auto"/>
        </w:rPr>
        <w:t>.</w:t>
      </w:r>
    </w:p>
    <w:p>
      <w:pPr>
        <w:spacing w:after="0" w:line="206" w:lineRule="exact"/>
        <w:rPr>
          <w:sz w:val="20"/>
          <w:szCs w:val="20"/>
          <w:color w:val="auto"/>
        </w:rPr>
      </w:pPr>
    </w:p>
    <w:p>
      <w:pPr>
        <w:jc w:val="both"/>
        <w:ind w:left="1" w:firstLine="1296"/>
        <w:spacing w:after="0" w:line="245" w:lineRule="auto"/>
        <w:tabs>
          <w:tab w:leader="none" w:pos="1897"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Except as otherwise explicitly specified to the contrary, (a) references to a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Article or Exhibit means a Section or Article of, or Exhibit to, this Agreement and all subsections thereof, unless another agreement is specified; (b) references to a particular statute or regulation include all rules and regulations promulgated thereunder and any successor statute, rules or regulations then in effect, in each case including the then-current amendments thereto; (c) words in the singular or plural form include the plural and singular form, respectively; (d) the terms “including,” “include(s),” “such as,” and “for example” used in this Agreement mean including the generality of any description preceding such term and will be deemed to be followed by “without limitation”; and (e) the words “hereof,” “herein,” “hereunder,” “hereby” and derivative or similar words refer to this Agreement.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30" w:name="page131"/>
    <w:bookmarkEnd w:id="130"/>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ind w:firstLine="1296"/>
        <w:spacing w:after="0" w:line="284" w:lineRule="auto"/>
        <w:tabs>
          <w:tab w:leader="none" w:pos="1905" w:val="left"/>
        </w:tabs>
        <w:numPr>
          <w:ilvl w:val="0"/>
          <w:numId w:val="1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Response. </w:t>
      </w:r>
      <w:r>
        <w:rPr>
          <w:rFonts w:ascii="Arial" w:cs="Arial" w:eastAsia="Arial" w:hAnsi="Arial"/>
          <w:sz w:val="19"/>
          <w:szCs w:val="19"/>
          <w:color w:val="auto"/>
        </w:rPr>
        <w:t>Where a provision of this Agreement provides for a Party to respond within a</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designated period following written notice from the other Party (e.g., Sections 5.1(a)(vi) and 5.1(b)(iv)), and if such Party fails to respond within the designated period, then the failure to respond shall create or imply: (i) that the non-responding Party agrees with the proposed action to be taken by the other Party, or (ii) consent that an action proposed to be taken may be taken, except if such consent expressly conflicts with the terms of this Agreement.</w:t>
      </w:r>
    </w:p>
    <w:p>
      <w:pPr>
        <w:spacing w:after="0" w:line="139" w:lineRule="exact"/>
        <w:rPr>
          <w:sz w:val="20"/>
          <w:szCs w:val="20"/>
          <w:color w:val="auto"/>
        </w:rPr>
      </w:pPr>
    </w:p>
    <w:p>
      <w:pPr>
        <w:ind w:left="4040" w:hanging="179"/>
        <w:spacing w:after="0"/>
        <w:tabs>
          <w:tab w:leader="none" w:pos="4040"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 xml:space="preserve">Signature page follows </w:t>
      </w:r>
      <w:r>
        <w:rPr>
          <w:rFonts w:ascii="Arial" w:cs="Arial" w:eastAsia="Arial" w:hAnsi="Arial"/>
          <w:sz w:val="22"/>
          <w:szCs w:val="22"/>
          <w:b w:val="1"/>
          <w:bCs w:val="1"/>
          <w:color w:val="auto"/>
        </w:rPr>
        <w:t>]</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87" w:lineRule="exact"/>
        <w:rPr>
          <w:rFonts w:ascii="Arial" w:cs="Arial" w:eastAsia="Arial" w:hAnsi="Arial"/>
          <w:sz w:val="22"/>
          <w:szCs w:val="22"/>
          <w:b w:val="1"/>
          <w:bCs w:val="1"/>
          <w:color w:val="auto"/>
        </w:rPr>
      </w:pPr>
    </w:p>
    <w:p>
      <w:pPr>
        <w:ind w:left="4920"/>
        <w:spacing w:after="0"/>
        <w:rPr>
          <w:rFonts w:ascii="Arial" w:cs="Arial" w:eastAsia="Arial" w:hAnsi="Arial"/>
          <w:sz w:val="22"/>
          <w:szCs w:val="22"/>
          <w:b w:val="1"/>
          <w:bCs w:val="1"/>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1" w:name="page132"/>
    <w:bookmarkEnd w:id="131"/>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hereto, intending to be legally bound hereby, have caused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to be executed by their duly authorized representatives as of the Effective Date.</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00" w:type="dxa"/>
            <w:vAlign w:val="bottom"/>
            <w:gridSpan w:val="2"/>
          </w:tcPr>
          <w:p>
            <w:pPr>
              <w:spacing w:after="0"/>
              <w:rPr>
                <w:sz w:val="20"/>
                <w:szCs w:val="20"/>
                <w:color w:val="auto"/>
              </w:rPr>
            </w:pPr>
            <w:r>
              <w:rPr>
                <w:rFonts w:ascii="Arial" w:cs="Arial" w:eastAsia="Arial" w:hAnsi="Arial"/>
                <w:sz w:val="22"/>
                <w:szCs w:val="22"/>
                <w:b w:val="1"/>
                <w:bCs w:val="1"/>
                <w:color w:val="auto"/>
              </w:rPr>
              <w:t>BioXcel Therapeutics</w:t>
            </w:r>
          </w:p>
        </w:tc>
        <w:tc>
          <w:tcPr>
            <w:tcW w:w="1380" w:type="dxa"/>
            <w:vAlign w:val="bottom"/>
          </w:tcPr>
          <w:p>
            <w:pPr>
              <w:spacing w:after="0"/>
              <w:rPr>
                <w:sz w:val="24"/>
                <w:szCs w:val="24"/>
                <w:color w:val="auto"/>
              </w:rPr>
            </w:pPr>
          </w:p>
        </w:tc>
        <w:tc>
          <w:tcPr>
            <w:tcW w:w="5080" w:type="dxa"/>
            <w:vAlign w:val="bottom"/>
            <w:gridSpan w:val="2"/>
          </w:tcPr>
          <w:p>
            <w:pPr>
              <w:ind w:left="160"/>
              <w:spacing w:after="0"/>
              <w:rPr>
                <w:sz w:val="20"/>
                <w:szCs w:val="20"/>
                <w:color w:val="auto"/>
              </w:rPr>
            </w:pPr>
            <w:r>
              <w:rPr>
                <w:rFonts w:ascii="Arial" w:cs="Arial" w:eastAsia="Arial" w:hAnsi="Arial"/>
                <w:sz w:val="22"/>
                <w:szCs w:val="22"/>
                <w:b w:val="1"/>
                <w:bCs w:val="1"/>
                <w:color w:val="auto"/>
              </w:rPr>
              <w:t>Nektar Therapeutics</w:t>
            </w:r>
          </w:p>
        </w:tc>
      </w:tr>
      <w:tr>
        <w:trPr>
          <w:trHeight w:val="962"/>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29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spacing w:after="0"/>
              <w:rPr>
                <w:sz w:val="24"/>
                <w:szCs w:val="24"/>
                <w:color w:val="auto"/>
              </w:rPr>
            </w:pPr>
          </w:p>
        </w:tc>
      </w:tr>
      <w:tr>
        <w:trPr>
          <w:trHeight w:val="480"/>
        </w:trPr>
        <w:tc>
          <w:tcPr>
            <w:tcW w:w="3600" w:type="dxa"/>
            <w:vAlign w:val="bottom"/>
            <w:gridSpan w:val="2"/>
          </w:tcPr>
          <w:p>
            <w:pPr>
              <w:spacing w:after="0"/>
              <w:rPr>
                <w:sz w:val="20"/>
                <w:szCs w:val="20"/>
                <w:color w:val="auto"/>
              </w:rPr>
            </w:pPr>
            <w:r>
              <w:rPr>
                <w:rFonts w:ascii="Arial" w:cs="Arial" w:eastAsia="Arial" w:hAnsi="Arial"/>
                <w:sz w:val="22"/>
                <w:szCs w:val="22"/>
                <w:color w:val="auto"/>
              </w:rPr>
              <w:t>Name: Vimal Mehta, Ph.D</w:t>
            </w:r>
          </w:p>
        </w:tc>
        <w:tc>
          <w:tcPr>
            <w:tcW w:w="1380" w:type="dxa"/>
            <w:vAlign w:val="bottom"/>
          </w:tcPr>
          <w:p>
            <w:pPr>
              <w:spacing w:after="0"/>
              <w:rPr>
                <w:sz w:val="24"/>
                <w:szCs w:val="24"/>
                <w:color w:val="auto"/>
              </w:rPr>
            </w:pPr>
          </w:p>
        </w:tc>
        <w:tc>
          <w:tcPr>
            <w:tcW w:w="5080" w:type="dxa"/>
            <w:vAlign w:val="bottom"/>
            <w:gridSpan w:val="2"/>
          </w:tcPr>
          <w:p>
            <w:pPr>
              <w:ind w:left="160"/>
              <w:spacing w:after="0"/>
              <w:rPr>
                <w:sz w:val="20"/>
                <w:szCs w:val="20"/>
                <w:color w:val="auto"/>
              </w:rPr>
            </w:pPr>
            <w:r>
              <w:rPr>
                <w:rFonts w:ascii="Arial" w:cs="Arial" w:eastAsia="Arial" w:hAnsi="Arial"/>
                <w:sz w:val="22"/>
                <w:szCs w:val="22"/>
                <w:color w:val="auto"/>
              </w:rPr>
              <w:t>Name:Howard Robin</w:t>
            </w:r>
          </w:p>
        </w:tc>
      </w:tr>
      <w:tr>
        <w:trPr>
          <w:trHeight w:val="20"/>
        </w:trPr>
        <w:tc>
          <w:tcPr>
            <w:tcW w:w="62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480"/>
        </w:trPr>
        <w:tc>
          <w:tcPr>
            <w:tcW w:w="3600" w:type="dxa"/>
            <w:vAlign w:val="bottom"/>
            <w:gridSpan w:val="2"/>
          </w:tcPr>
          <w:p>
            <w:pPr>
              <w:spacing w:after="0"/>
              <w:rPr>
                <w:sz w:val="20"/>
                <w:szCs w:val="20"/>
                <w:color w:val="auto"/>
              </w:rPr>
            </w:pPr>
            <w:r>
              <w:rPr>
                <w:rFonts w:ascii="Arial" w:cs="Arial" w:eastAsia="Arial" w:hAnsi="Arial"/>
                <w:sz w:val="22"/>
                <w:szCs w:val="22"/>
                <w:color w:val="auto"/>
              </w:rPr>
              <w:t>Title:  CEO</w:t>
            </w:r>
          </w:p>
        </w:tc>
        <w:tc>
          <w:tcPr>
            <w:tcW w:w="1380" w:type="dxa"/>
            <w:vAlign w:val="bottom"/>
          </w:tcPr>
          <w:p>
            <w:pPr>
              <w:spacing w:after="0"/>
              <w:rPr>
                <w:sz w:val="24"/>
                <w:szCs w:val="24"/>
                <w:color w:val="auto"/>
              </w:rPr>
            </w:pPr>
          </w:p>
        </w:tc>
        <w:tc>
          <w:tcPr>
            <w:tcW w:w="5080" w:type="dxa"/>
            <w:vAlign w:val="bottom"/>
            <w:gridSpan w:val="2"/>
          </w:tcPr>
          <w:p>
            <w:pPr>
              <w:ind w:left="160"/>
              <w:spacing w:after="0"/>
              <w:rPr>
                <w:sz w:val="20"/>
                <w:szCs w:val="20"/>
                <w:color w:val="auto"/>
              </w:rPr>
            </w:pPr>
            <w:r>
              <w:rPr>
                <w:rFonts w:ascii="Arial" w:cs="Arial" w:eastAsia="Arial" w:hAnsi="Arial"/>
                <w:sz w:val="22"/>
                <w:szCs w:val="22"/>
                <w:color w:val="auto"/>
              </w:rPr>
              <w:t>Title: President and CEO</w:t>
            </w:r>
          </w:p>
        </w:tc>
      </w:tr>
      <w:tr>
        <w:trPr>
          <w:trHeight w:val="723"/>
        </w:trPr>
        <w:tc>
          <w:tcPr>
            <w:tcW w:w="620" w:type="dxa"/>
            <w:vAlign w:val="bottom"/>
          </w:tcPr>
          <w:p>
            <w:pPr>
              <w:spacing w:after="0"/>
              <w:rPr>
                <w:sz w:val="24"/>
                <w:szCs w:val="24"/>
                <w:color w:val="auto"/>
              </w:rPr>
            </w:pPr>
          </w:p>
        </w:tc>
        <w:tc>
          <w:tcPr>
            <w:tcW w:w="29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22"/>
                <w:szCs w:val="22"/>
                <w:color w:val="auto"/>
              </w:rPr>
              <w:t>By:</w:t>
            </w:r>
          </w:p>
        </w:tc>
        <w:tc>
          <w:tcPr>
            <w:tcW w:w="4340" w:type="dxa"/>
            <w:vAlign w:val="bottom"/>
            <w:tcBorders>
              <w:top w:val="single" w:sz="8" w:color="auto"/>
              <w:bottom w:val="single" w:sz="8" w:color="auto"/>
            </w:tcBorders>
          </w:tcPr>
          <w:p>
            <w:pPr>
              <w:spacing w:after="0"/>
              <w:rPr>
                <w:sz w:val="24"/>
                <w:szCs w:val="24"/>
                <w:color w:val="auto"/>
              </w:rPr>
            </w:pPr>
          </w:p>
        </w:tc>
      </w:tr>
      <w:tr>
        <w:trPr>
          <w:trHeight w:val="480"/>
        </w:trPr>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80" w:type="dxa"/>
            <w:vAlign w:val="bottom"/>
            <w:gridSpan w:val="2"/>
          </w:tcPr>
          <w:p>
            <w:pPr>
              <w:ind w:left="160"/>
              <w:spacing w:after="0"/>
              <w:rPr>
                <w:sz w:val="20"/>
                <w:szCs w:val="20"/>
                <w:color w:val="auto"/>
              </w:rPr>
            </w:pPr>
            <w:r>
              <w:rPr>
                <w:rFonts w:ascii="Arial" w:cs="Arial" w:eastAsia="Arial" w:hAnsi="Arial"/>
                <w:sz w:val="22"/>
                <w:szCs w:val="22"/>
                <w:color w:val="auto"/>
              </w:rPr>
              <w:t>Name:Gil M. Labrucherie</w:t>
            </w:r>
          </w:p>
        </w:tc>
      </w:tr>
      <w:tr>
        <w:trPr>
          <w:trHeight w:val="20"/>
        </w:trPr>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480"/>
        </w:trPr>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80" w:type="dxa"/>
            <w:vAlign w:val="bottom"/>
            <w:gridSpan w:val="2"/>
          </w:tcPr>
          <w:p>
            <w:pPr>
              <w:ind w:left="160"/>
              <w:spacing w:after="0"/>
              <w:rPr>
                <w:sz w:val="20"/>
                <w:szCs w:val="20"/>
                <w:color w:val="auto"/>
              </w:rPr>
            </w:pPr>
            <w:r>
              <w:rPr>
                <w:rFonts w:ascii="Arial" w:cs="Arial" w:eastAsia="Arial" w:hAnsi="Arial"/>
                <w:sz w:val="22"/>
                <w:szCs w:val="22"/>
                <w:color w:val="auto"/>
              </w:rPr>
              <w:t>Title: Senior Vice President and CFO</w:t>
            </w:r>
          </w:p>
        </w:tc>
      </w:tr>
      <w:tr>
        <w:trPr>
          <w:trHeight w:val="922"/>
        </w:trPr>
        <w:tc>
          <w:tcPr>
            <w:tcW w:w="6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120" w:type="dxa"/>
            <w:vAlign w:val="bottom"/>
            <w:gridSpan w:val="2"/>
          </w:tcPr>
          <w:p>
            <w:pPr>
              <w:jc w:val="right"/>
              <w:ind w:right="472"/>
              <w:spacing w:after="0"/>
              <w:rPr>
                <w:sz w:val="20"/>
                <w:szCs w:val="20"/>
                <w:color w:val="auto"/>
              </w:rPr>
            </w:pPr>
            <w:r>
              <w:rPr>
                <w:rFonts w:ascii="Arial" w:cs="Arial" w:eastAsia="Arial" w:hAnsi="Arial"/>
                <w:sz w:val="22"/>
                <w:szCs w:val="22"/>
                <w:color w:val="auto"/>
              </w:rPr>
              <w:t>63</w:t>
            </w:r>
          </w:p>
        </w:tc>
        <w:tc>
          <w:tcPr>
            <w:tcW w:w="4340" w:type="dxa"/>
            <w:vAlign w:val="bottom"/>
            <w:tcBorders>
              <w:top w:val="single" w:sz="8" w:color="auto"/>
            </w:tcBorders>
          </w:tcPr>
          <w:p>
            <w:pPr>
              <w:spacing w:after="0"/>
              <w:rPr>
                <w:sz w:val="24"/>
                <w:szCs w:val="24"/>
                <w:color w:val="auto"/>
              </w:rPr>
            </w:pPr>
          </w:p>
        </w:tc>
      </w:tr>
      <w:tr>
        <w:trPr>
          <w:trHeight w:val="119"/>
        </w:trPr>
        <w:tc>
          <w:tcPr>
            <w:tcW w:w="62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0060"/>
          </w:cols>
          <w:pgMar w:left="920" w:top="118" w:right="919" w:bottom="1440" w:gutter="0" w:footer="0" w:header="0"/>
        </w:sectPr>
      </w:pPr>
    </w:p>
    <w:bookmarkStart w:id="132" w:name="page133"/>
    <w:bookmarkEnd w:id="132"/>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 of Exhibits and Schedules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Attached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 Initial Trial Overview</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 Press Release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 BioXcel CRO and Sites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 Nektar Compound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E</w:t>
      </w:r>
      <w:r>
        <w:rPr>
          <w:rFonts w:ascii="Arial" w:cs="Arial" w:eastAsia="Arial" w:hAnsi="Arial"/>
          <w:sz w:val="22"/>
          <w:szCs w:val="22"/>
          <w:color w:val="auto"/>
        </w:rPr>
        <w:t xml:space="preserve"> : BioXcel Compound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3" w:name="page134"/>
    <w:bookmarkEnd w:id="133"/>
    <w:p>
      <w:pPr>
        <w:jc w:val="both"/>
        <w:ind w:left="1"/>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INITIAL TRIAL OVERVIEW</w:t>
      </w:r>
    </w:p>
    <w:p>
      <w:pPr>
        <w:spacing w:after="0" w:line="212" w:lineRule="exact"/>
        <w:rPr>
          <w:sz w:val="20"/>
          <w:szCs w:val="20"/>
          <w:color w:val="auto"/>
        </w:rPr>
      </w:pPr>
    </w:p>
    <w:p>
      <w:pPr>
        <w:jc w:val="both"/>
        <w:ind w:left="641" w:hanging="641"/>
        <w:spacing w:after="0" w:line="258" w:lineRule="auto"/>
        <w:tabs>
          <w:tab w:leader="none" w:pos="72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Open-label, single arm 36 patient Phase 1/2 study conducted at a single center to determine the safety and ORR of BXCL-701 administered orally in combination with NKTR-214 and a checkpoint inhibitor (TBD). The study will also assess other efficacy parameters, such as PFS, OS and DOR.</w:t>
      </w:r>
    </w:p>
    <w:p>
      <w:pPr>
        <w:spacing w:after="0" w:line="166" w:lineRule="exact"/>
        <w:rPr>
          <w:rFonts w:ascii="Arial" w:cs="Arial" w:eastAsia="Arial" w:hAnsi="Arial"/>
          <w:sz w:val="21"/>
          <w:szCs w:val="21"/>
          <w:color w:val="auto"/>
        </w:rPr>
      </w:pPr>
    </w:p>
    <w:p>
      <w:pPr>
        <w:jc w:val="both"/>
        <w:ind w:left="641" w:hanging="641"/>
        <w:spacing w:after="0"/>
        <w:tabs>
          <w:tab w:leader="none" w:pos="887" w:val="left"/>
        </w:tabs>
        <w:numPr>
          <w:ilvl w:val="0"/>
          <w:numId w:val="118"/>
        </w:numPr>
        <w:rPr>
          <w:rFonts w:ascii="Arial" w:cs="Arial" w:eastAsia="Arial" w:hAnsi="Arial"/>
          <w:sz w:val="22"/>
          <w:szCs w:val="22"/>
          <w:color w:val="auto"/>
        </w:rPr>
      </w:pPr>
      <w:r>
        <w:rPr>
          <w:rFonts w:ascii="Arial" w:cs="Arial" w:eastAsia="Arial" w:hAnsi="Arial"/>
          <w:sz w:val="22"/>
          <w:szCs w:val="22"/>
          <w:color w:val="auto"/>
        </w:rPr>
        <w:t>Lead-in Stage (safety run-in) will be conducted followed by Efficacy and Biomarker Stage in which patients with mPaC will receive the 3 drugs, BXCL701 being given at the dose (400mcg or 600mcg) identified in the safety run-in.</w:t>
      </w:r>
    </w:p>
    <w:p>
      <w:pPr>
        <w:spacing w:after="0" w:line="186" w:lineRule="exact"/>
        <w:rPr>
          <w:rFonts w:ascii="Arial" w:cs="Arial" w:eastAsia="Arial" w:hAnsi="Arial"/>
          <w:sz w:val="22"/>
          <w:szCs w:val="22"/>
          <w:color w:val="auto"/>
        </w:rPr>
      </w:pPr>
    </w:p>
    <w:p>
      <w:pPr>
        <w:ind w:left="641" w:hanging="641"/>
        <w:spacing w:after="0"/>
        <w:tabs>
          <w:tab w:leader="none" w:pos="641" w:val="left"/>
        </w:tabs>
        <w:numPr>
          <w:ilvl w:val="0"/>
          <w:numId w:val="11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19"/>
          <w:szCs w:val="19"/>
          <w:color w:val="auto"/>
        </w:rPr>
        <w:t>[***]</w:t>
      </w:r>
      <w:r>
        <w:rPr>
          <w:rFonts w:ascii="Arial" w:cs="Arial" w:eastAsia="Arial" w:hAnsi="Arial"/>
          <w:sz w:val="22"/>
          <w:szCs w:val="22"/>
          <w:color w:val="auto"/>
        </w:rPr>
        <w:t xml:space="preserve"> estimated cost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34" w:name="page135"/>
    <w:bookmarkEnd w:id="134"/>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5" w:name="page136"/>
    <w:bookmarkEnd w:id="135"/>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BIOXCEL CRO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CLINICAL SITES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CRO: Novella Clinical LLC</w:t>
      </w:r>
    </w:p>
    <w:p>
      <w:pPr>
        <w:spacing w:after="0" w:line="200" w:lineRule="exact"/>
        <w:rPr>
          <w:sz w:val="20"/>
          <w:szCs w:val="20"/>
          <w:color w:val="auto"/>
        </w:rPr>
      </w:pPr>
    </w:p>
    <w:p>
      <w:pPr>
        <w:spacing w:after="0" w:line="23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3190240" cy="32499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90240" cy="3249930"/>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6" w:name="page137"/>
    <w:bookmarkEnd w:id="136"/>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NEKTAR COMPOUND</w:t>
      </w:r>
    </w:p>
    <w:p>
      <w:pPr>
        <w:spacing w:after="0" w:line="212"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NKTR-214, a CD122-biased cytokine agonist conjugated with multiple releasable chains of polyethylene glycol (PEG)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7" w:name="page138"/>
    <w:bookmarkEnd w:id="137"/>
    <w:p>
      <w:pPr>
        <w:jc w:val="both"/>
        <w:spacing w:after="0" w:line="236" w:lineRule="auto"/>
        <w:rPr>
          <w:sz w:val="20"/>
          <w:szCs w:val="20"/>
          <w:color w:val="auto"/>
        </w:rPr>
      </w:pPr>
      <w:r>
        <w:rPr>
          <w:rFonts w:ascii="Arial" w:cs="Arial" w:eastAsia="Arial" w:hAnsi="Arial"/>
          <w:sz w:val="22"/>
          <w:szCs w:val="22"/>
          <w:color w:val="auto"/>
        </w:rPr>
        <w:t>CERTAIN CONFIDENTIAL PORTIONS OF THIS EXHIBIT WHERE OMITTED AND REPLACED WITH “[***]”. A COMPLETE VERSION OF THIS EXHIBIT HAS BEEN FILED SEPARATELY WITH THE SECRETARY OF THE SECURITIES AND EXCHANGE COMMISSION PURSUANT TO AN APPLICATION REQUESTING CONFIDENTIAL TREATMENT PURSUANT TO RULE 24B-2 PROMULGATED UNDER THE SECURITIES EXCHANGE ACT OF 1934, AS AMENDED.</w:t>
      </w:r>
    </w:p>
    <w:p>
      <w:pPr>
        <w:spacing w:after="0" w:line="182" w:lineRule="exact"/>
        <w:rPr>
          <w:sz w:val="20"/>
          <w:szCs w:val="20"/>
          <w:color w:val="auto"/>
        </w:rPr>
      </w:pPr>
    </w:p>
    <w:p>
      <w:pPr>
        <w:ind w:left="4480"/>
        <w:spacing w:after="0"/>
        <w:rPr>
          <w:sz w:val="20"/>
          <w:szCs w:val="20"/>
          <w:color w:val="auto"/>
        </w:rPr>
      </w:pPr>
      <w:r>
        <w:rPr>
          <w:rFonts w:ascii="Arial" w:cs="Arial" w:eastAsia="Arial" w:hAnsi="Arial"/>
          <w:sz w:val="22"/>
          <w:szCs w:val="22"/>
          <w:b w:val="1"/>
          <w:bCs w:val="1"/>
          <w:u w:val="single" w:color="auto"/>
          <w:color w:val="auto"/>
        </w:rPr>
        <w:t>EXHIBIT E</w:t>
      </w:r>
    </w:p>
    <w:p>
      <w:pPr>
        <w:spacing w:after="0" w:line="206" w:lineRule="exact"/>
        <w:rPr>
          <w:sz w:val="20"/>
          <w:szCs w:val="20"/>
          <w:color w:val="auto"/>
        </w:rPr>
      </w:pPr>
    </w:p>
    <w:p>
      <w:pPr>
        <w:ind w:left="3860"/>
        <w:spacing w:after="0"/>
        <w:rPr>
          <w:sz w:val="20"/>
          <w:szCs w:val="20"/>
          <w:color w:val="auto"/>
        </w:rPr>
      </w:pPr>
      <w:r>
        <w:rPr>
          <w:rFonts w:ascii="Arial" w:cs="Arial" w:eastAsia="Arial" w:hAnsi="Arial"/>
          <w:sz w:val="22"/>
          <w:szCs w:val="22"/>
          <w:b w:val="1"/>
          <w:bCs w:val="1"/>
          <w:color w:val="auto"/>
        </w:rPr>
        <w:t>BIOXCEL COMPOUND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BXCL-701 (talabostat mesylate); valine-proline boronic acid formulated as the methanesulfonate salt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 of active ingredient (BXCL701):</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(2R)-1-[(2S)-2-amino-3-methyl-1-oxobutyl]-2-pyrrolidinyl]boronic acid, methanesulfonate salt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8" w:name="page139"/>
    <w:bookmarkEnd w:id="138"/>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Vimal Mehta, Ph.D., certify that:</w:t>
      </w:r>
    </w:p>
    <w:p>
      <w:pPr>
        <w:spacing w:after="0" w:line="144" w:lineRule="exact"/>
        <w:rPr>
          <w:sz w:val="20"/>
          <w:szCs w:val="20"/>
          <w:color w:val="auto"/>
        </w:rPr>
      </w:pPr>
    </w:p>
    <w:p>
      <w:pPr>
        <w:ind w:left="780" w:hanging="188"/>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BioXcel Therapeutics, Inc.;</w:t>
      </w:r>
    </w:p>
    <w:p>
      <w:pPr>
        <w:spacing w:after="0" w:line="144" w:lineRule="exact"/>
        <w:rPr>
          <w:rFonts w:ascii="Arial" w:cs="Arial" w:eastAsia="Arial" w:hAnsi="Arial"/>
          <w:sz w:val="18"/>
          <w:szCs w:val="18"/>
          <w:color w:val="auto"/>
        </w:rPr>
      </w:pPr>
    </w:p>
    <w:p>
      <w:pPr>
        <w:ind w:left="160" w:right="359" w:firstLine="432"/>
        <w:spacing w:after="0" w:line="224" w:lineRule="auto"/>
        <w:tabs>
          <w:tab w:leader="none" w:pos="7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160" w:right="759" w:firstLine="432"/>
        <w:spacing w:after="0" w:line="235" w:lineRule="auto"/>
        <w:tabs>
          <w:tab w:leader="none" w:pos="7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21" w:lineRule="exact"/>
        <w:rPr>
          <w:rFonts w:ascii="Arial" w:cs="Arial" w:eastAsia="Arial" w:hAnsi="Arial"/>
          <w:sz w:val="18"/>
          <w:szCs w:val="18"/>
          <w:color w:val="auto"/>
        </w:rPr>
      </w:pPr>
    </w:p>
    <w:p>
      <w:pPr>
        <w:ind w:left="600" w:right="339" w:firstLine="432"/>
        <w:spacing w:after="0" w:line="219" w:lineRule="auto"/>
        <w:tabs>
          <w:tab w:leader="none" w:pos="12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220" w:hanging="188"/>
        <w:spacing w:after="0"/>
        <w:tabs>
          <w:tab w:leader="none" w:pos="12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44" w:lineRule="exact"/>
        <w:rPr>
          <w:rFonts w:ascii="Arial" w:cs="Arial" w:eastAsia="Arial" w:hAnsi="Arial"/>
          <w:sz w:val="18"/>
          <w:szCs w:val="18"/>
          <w:color w:val="auto"/>
        </w:rPr>
      </w:pPr>
    </w:p>
    <w:p>
      <w:pPr>
        <w:ind w:left="600" w:right="159" w:firstLine="432"/>
        <w:spacing w:after="0" w:line="224" w:lineRule="auto"/>
        <w:tabs>
          <w:tab w:leader="none" w:pos="12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00" w:right="439" w:firstLine="432"/>
        <w:spacing w:after="0" w:line="219" w:lineRule="auto"/>
        <w:tabs>
          <w:tab w:leader="none" w:pos="123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00" w:right="439" w:firstLine="432"/>
        <w:spacing w:after="0" w:line="224" w:lineRule="auto"/>
        <w:tabs>
          <w:tab w:leader="none" w:pos="122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00" w:right="219" w:firstLine="432"/>
        <w:spacing w:after="0" w:line="235" w:lineRule="auto"/>
        <w:tabs>
          <w:tab w:leader="none" w:pos="123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By: /s/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Vimal Mehta, Ph.D.</w:t>
      </w:r>
    </w:p>
    <w:p>
      <w:pPr>
        <w:ind w:left="488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Richard Steinhart, certify that:</w:t>
      </w:r>
    </w:p>
    <w:p>
      <w:pPr>
        <w:spacing w:after="0" w:line="144" w:lineRule="exact"/>
        <w:rPr>
          <w:sz w:val="20"/>
          <w:szCs w:val="20"/>
          <w:color w:val="auto"/>
        </w:rPr>
      </w:pPr>
    </w:p>
    <w:p>
      <w:pPr>
        <w:ind w:left="780" w:hanging="188"/>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BioXcel Therapeutics, Inc.;</w:t>
      </w:r>
    </w:p>
    <w:p>
      <w:pPr>
        <w:spacing w:after="0" w:line="144" w:lineRule="exact"/>
        <w:rPr>
          <w:rFonts w:ascii="Arial" w:cs="Arial" w:eastAsia="Arial" w:hAnsi="Arial"/>
          <w:sz w:val="18"/>
          <w:szCs w:val="18"/>
          <w:color w:val="auto"/>
        </w:rPr>
      </w:pPr>
    </w:p>
    <w:p>
      <w:pPr>
        <w:ind w:left="160" w:right="359" w:firstLine="432"/>
        <w:spacing w:after="0" w:line="224" w:lineRule="auto"/>
        <w:tabs>
          <w:tab w:leader="none" w:pos="7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160" w:right="759" w:firstLine="432"/>
        <w:spacing w:after="0" w:line="235" w:lineRule="auto"/>
        <w:tabs>
          <w:tab w:leader="none" w:pos="7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w:t>
      </w:r>
    </w:p>
    <w:p>
      <w:pPr>
        <w:spacing w:after="0" w:line="121" w:lineRule="exact"/>
        <w:rPr>
          <w:rFonts w:ascii="Arial" w:cs="Arial" w:eastAsia="Arial" w:hAnsi="Arial"/>
          <w:sz w:val="18"/>
          <w:szCs w:val="18"/>
          <w:color w:val="auto"/>
        </w:rPr>
      </w:pPr>
    </w:p>
    <w:p>
      <w:pPr>
        <w:ind w:left="600" w:right="339" w:firstLine="432"/>
        <w:spacing w:after="0" w:line="219" w:lineRule="auto"/>
        <w:tabs>
          <w:tab w:leader="none" w:pos="12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220" w:hanging="188"/>
        <w:spacing w:after="0"/>
        <w:tabs>
          <w:tab w:leader="none" w:pos="12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44" w:lineRule="exact"/>
        <w:rPr>
          <w:rFonts w:ascii="Arial" w:cs="Arial" w:eastAsia="Arial" w:hAnsi="Arial"/>
          <w:sz w:val="18"/>
          <w:szCs w:val="18"/>
          <w:color w:val="auto"/>
        </w:rPr>
      </w:pPr>
    </w:p>
    <w:p>
      <w:pPr>
        <w:ind w:left="600" w:right="159" w:firstLine="432"/>
        <w:spacing w:after="0" w:line="224" w:lineRule="auto"/>
        <w:tabs>
          <w:tab w:leader="none" w:pos="12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00" w:right="439" w:firstLine="432"/>
        <w:spacing w:after="0" w:line="219" w:lineRule="auto"/>
        <w:tabs>
          <w:tab w:leader="none" w:pos="123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160" w:right="239" w:firstLine="432"/>
        <w:spacing w:after="0" w:line="224" w:lineRule="auto"/>
        <w:tabs>
          <w:tab w:leader="none" w:pos="78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00" w:right="439" w:firstLine="432"/>
        <w:spacing w:after="0" w:line="224" w:lineRule="auto"/>
        <w:tabs>
          <w:tab w:leader="none" w:pos="12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00" w:right="219" w:firstLine="432"/>
        <w:spacing w:after="0" w:line="235" w:lineRule="auto"/>
        <w:tabs>
          <w:tab w:leader="none" w:pos="123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Richard Steinhart</w:t>
      </w:r>
    </w:p>
    <w:p>
      <w:pPr>
        <w:ind w:left="488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467995</wp:posOffset>
            </wp:positionV>
            <wp:extent cx="554863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1" w:name="page142"/>
    <w:bookmarkEnd w:id="141"/>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22" w:lineRule="exact"/>
        <w:rPr>
          <w:sz w:val="20"/>
          <w:szCs w:val="20"/>
          <w:color w:val="auto"/>
        </w:rPr>
      </w:pPr>
    </w:p>
    <w:p>
      <w:pPr>
        <w:ind w:left="160" w:right="479" w:firstLine="441"/>
        <w:spacing w:after="0" w:line="216" w:lineRule="auto"/>
        <w:rPr>
          <w:sz w:val="20"/>
          <w:szCs w:val="20"/>
          <w:color w:val="auto"/>
        </w:rPr>
      </w:pPr>
      <w:r>
        <w:rPr>
          <w:rFonts w:ascii="Arial" w:cs="Arial" w:eastAsia="Arial" w:hAnsi="Arial"/>
          <w:sz w:val="18"/>
          <w:szCs w:val="18"/>
          <w:color w:val="auto"/>
        </w:rPr>
        <w:t>In connection with the Quarterly Report on Form 10-Q of BioXcel Therapeutics, Inc. (the “Company”) for the period ended September 30, 2018 as filed with the Securities and Exchange Commission on the date hereof (the “Report”), the undersigned, Vimal Mehta, Chief Executive Officer of the Company,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160" w:right="419" w:firstLine="432"/>
        <w:spacing w:after="0" w:line="235" w:lineRule="auto"/>
        <w:tabs>
          <w:tab w:leader="none" w:pos="85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60" w:right="539" w:firstLine="432"/>
        <w:spacing w:after="0" w:line="235" w:lineRule="auto"/>
        <w:tabs>
          <w:tab w:leader="none" w:pos="85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By: /s/ Vimal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Vimal Mehta, Ph.D.</w:t>
      </w:r>
    </w:p>
    <w:p>
      <w:pPr>
        <w:ind w:left="4880"/>
        <w:spacing w:after="0" w:line="219"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2" w:name="page143"/>
    <w:bookmarkEnd w:id="142"/>
    <w:p>
      <w:pPr>
        <w:jc w:val="right"/>
        <w:ind w:right="139"/>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22" w:lineRule="exact"/>
        <w:rPr>
          <w:sz w:val="20"/>
          <w:szCs w:val="20"/>
          <w:color w:val="auto"/>
        </w:rPr>
      </w:pPr>
    </w:p>
    <w:p>
      <w:pPr>
        <w:ind w:left="160" w:right="279" w:firstLine="441"/>
        <w:spacing w:after="0" w:line="216" w:lineRule="auto"/>
        <w:rPr>
          <w:sz w:val="20"/>
          <w:szCs w:val="20"/>
          <w:color w:val="auto"/>
        </w:rPr>
      </w:pPr>
      <w:r>
        <w:rPr>
          <w:rFonts w:ascii="Arial" w:cs="Arial" w:eastAsia="Arial" w:hAnsi="Arial"/>
          <w:sz w:val="18"/>
          <w:szCs w:val="18"/>
          <w:color w:val="auto"/>
        </w:rPr>
        <w:t>In connection with the Quarterly Report on Form 10-Q of BioXcel Therapeutics, Inc. (the “Company”) for the period ended September 30, 2018 as filed with the Securities and Exchange Commission on the date hereof (the “Report”), the undersigned, Richard Steinhart, Chief Financial Officer of the Company,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160" w:right="419" w:firstLine="432"/>
        <w:spacing w:after="0" w:line="235" w:lineRule="auto"/>
        <w:tabs>
          <w:tab w:leader="none" w:pos="8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60" w:right="539" w:firstLine="432"/>
        <w:spacing w:after="0" w:line="235" w:lineRule="auto"/>
        <w:tabs>
          <w:tab w:leader="none" w:pos="8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21" w:lineRule="exact"/>
        <w:rPr>
          <w:sz w:val="20"/>
          <w:szCs w:val="20"/>
          <w:color w:val="auto"/>
        </w:rPr>
      </w:pPr>
    </w:p>
    <w:p>
      <w:pPr>
        <w:ind w:left="160"/>
        <w:spacing w:after="0"/>
        <w:tabs>
          <w:tab w:leader="none" w:pos="450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By: /s/ Richard Steinhart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6350</wp:posOffset>
            </wp:positionV>
            <wp:extent cx="25387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4880"/>
        <w:spacing w:after="0" w:line="232" w:lineRule="auto"/>
        <w:rPr>
          <w:sz w:val="20"/>
          <w:szCs w:val="20"/>
          <w:color w:val="auto"/>
        </w:rPr>
      </w:pPr>
      <w:r>
        <w:rPr>
          <w:rFonts w:ascii="Arial" w:cs="Arial" w:eastAsia="Arial" w:hAnsi="Arial"/>
          <w:sz w:val="18"/>
          <w:szCs w:val="18"/>
          <w:color w:val="auto"/>
        </w:rPr>
        <w:t>Richard Steinhart</w:t>
      </w:r>
    </w:p>
    <w:p>
      <w:pPr>
        <w:ind w:left="4880"/>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356235</wp:posOffset>
            </wp:positionV>
            <wp:extent cx="554863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1)"/>
      <w:numFmt w:val="lowerRoman"/>
      <w:start w:val="3"/>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o"/>
      <w:numFmt w:val="bullet"/>
      <w:start w:val="1"/>
    </w:lvl>
  </w:abstractNum>
  <w:abstractNum w:abstractNumId="6">
    <w:nsid w:val="5FF87E05"/>
    <w:multiLevelType w:val="hybridMultilevel"/>
    <w:lvl w:ilvl="0">
      <w:lvlJc w:val="left"/>
      <w:lvlText w:val="o"/>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1)"/>
      <w:numFmt w:val="lowerLetter"/>
      <w:start w:val="1"/>
    </w:lvl>
  </w:abstractNum>
  <w:abstractNum w:abstractNumId="42">
    <w:nsid w:val="7FFFCA11"/>
    <w:multiLevelType w:val="hybridMultilevel"/>
    <w:lvl w:ilvl="0">
      <w:lvlJc w:val="left"/>
      <w:lvlText w:val="(%1)"/>
      <w:numFmt w:val="lowerLetter"/>
      <w:start w:val="1"/>
    </w:lvl>
  </w:abstractNum>
  <w:abstractNum w:abstractNumId="43">
    <w:nsid w:val="1A27709E"/>
    <w:multiLevelType w:val="hybridMultilevel"/>
    <w:lvl w:ilvl="0">
      <w:lvlJc w:val="left"/>
      <w:lvlText w:val="(%1)"/>
      <w:numFmt w:val="lowerLetter"/>
      <w:start w:val="4"/>
    </w:lvl>
  </w:abstractNum>
  <w:abstractNum w:abstractNumId="44">
    <w:nsid w:val="71EA1109"/>
    <w:multiLevelType w:val="hybridMultilevel"/>
    <w:lvl w:ilvl="0">
      <w:lvlJc w:val="left"/>
      <w:lvlText w:val="(%1)"/>
      <w:numFmt w:val="lowerLetter"/>
      <w:start w:val="1"/>
    </w:lvl>
  </w:abstractNum>
  <w:abstractNum w:abstractNumId="45">
    <w:nsid w:val="100F59DC"/>
    <w:multiLevelType w:val="hybridMultilevel"/>
    <w:lvl w:ilvl="0">
      <w:lvlJc w:val="left"/>
      <w:lvlText w:val="(%1)"/>
      <w:numFmt w:val="lowerLetter"/>
      <w:start w:val="2"/>
    </w:lvl>
    <w:lvl w:ilvl="1">
      <w:lvlJc w:val="left"/>
      <w:lvlText w:val="(%2)"/>
      <w:numFmt w:val="lowerRoman"/>
      <w:start w:val="1"/>
    </w:lvl>
  </w:abstractNum>
  <w:abstractNum w:abstractNumId="46">
    <w:nsid w:val="7FB7E0AA"/>
    <w:multiLevelType w:val="hybridMultilevel"/>
    <w:lvl w:ilvl="0">
      <w:lvlJc w:val="left"/>
      <w:lvlText w:val="(%1)"/>
      <w:numFmt w:val="lowerLetter"/>
      <w:start w:val="24"/>
    </w:lvl>
    <w:lvl w:ilvl="1">
      <w:lvlJc w:val="left"/>
      <w:lvlText w:val="(%2)"/>
      <w:numFmt w:val="lowerLetter"/>
      <w:start w:val="3"/>
    </w:lvl>
    <w:lvl w:ilvl="2">
      <w:lvlJc w:val="left"/>
      <w:lvlText w:val="(%3)"/>
      <w:numFmt w:val="lowerLetter"/>
      <w:start w:val="9"/>
    </w:lvl>
  </w:abstractNum>
  <w:abstractNum w:abstractNumId="47">
    <w:nsid w:val="6EB5BD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48">
    <w:nsid w:val="6F6DD9AC"/>
    <w:multiLevelType w:val="hybridMultilevel"/>
    <w:lvl w:ilvl="0">
      <w:lvlJc w:val="left"/>
      <w:lvlText w:val="(%1)"/>
      <w:numFmt w:val="decimal"/>
      <w:start w:val="10"/>
    </w:lvl>
    <w:lvl w:ilvl="1">
      <w:lvlJc w:val="left"/>
      <w:lvlText w:val="(%2)"/>
      <w:numFmt w:val="lowerLetter"/>
      <w:start w:val="35"/>
    </w:lvl>
  </w:abstractNum>
  <w:abstractNum w:abstractNumId="49">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0">
    <w:nsid w:val="885E1B"/>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1">
    <w:nsid w:val="7627211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52">
    <w:nsid w:val="4C04A8AF"/>
    <w:multiLevelType w:val="hybridMultilevel"/>
    <w:lvl w:ilvl="0">
      <w:lvlJc w:val="left"/>
      <w:lvlText w:val="(%1)"/>
      <w:numFmt w:val="lowerLetter"/>
      <w:start w:val="5"/>
    </w:lvl>
  </w:abstractNum>
  <w:abstractNum w:abstractNumId="53">
    <w:nsid w:val="1716703B"/>
    <w:multiLevelType w:val="hybridMultilevel"/>
    <w:lvl w:ilvl="0">
      <w:lvlJc w:val="left"/>
      <w:lvlText w:val="(%1)"/>
      <w:numFmt w:val="lowerLetter"/>
      <w:start w:val="1"/>
    </w:lvl>
  </w:abstractNum>
  <w:abstractNum w:abstractNumId="54">
    <w:nsid w:val="14E17E33"/>
    <w:multiLevelType w:val="hybridMultilevel"/>
    <w:lvl w:ilvl="0">
      <w:lvlJc w:val="left"/>
      <w:lvlText w:val="(%1)"/>
      <w:numFmt w:val="lowerLetter"/>
      <w:start w:val="10"/>
    </w:lvl>
  </w:abstractNum>
  <w:abstractNum w:abstractNumId="55">
    <w:nsid w:val="3222E7CD"/>
    <w:multiLevelType w:val="hybridMultilevel"/>
    <w:lvl w:ilvl="0">
      <w:lvlJc w:val="left"/>
      <w:lvlText w:val="(%1)"/>
      <w:numFmt w:val="lowerLetter"/>
      <w:start w:val="20"/>
    </w:lvl>
  </w:abstractNum>
  <w:abstractNum w:abstractNumId="56">
    <w:nsid w:val="74DE0EE3"/>
    <w:multiLevelType w:val="hybridMultilevel"/>
    <w:lvl w:ilvl="0">
      <w:lvlJc w:val="left"/>
      <w:lvlText w:val="%1"/>
      <w:numFmt w:val="lowerLetter"/>
      <w:start w:val="1"/>
    </w:lvl>
    <w:lvl w:ilvl="1">
      <w:lvlJc w:val="left"/>
      <w:lvlText w:val="(%2)"/>
      <w:numFmt w:val="lowerLetter"/>
      <w:start w:val="1"/>
    </w:lvl>
  </w:abstractNum>
  <w:abstractNum w:abstractNumId="57">
    <w:nsid w:val="68EBC550"/>
    <w:multiLevelType w:val="hybridMultilevel"/>
    <w:lvl w:ilvl="0">
      <w:lvlJc w:val="left"/>
      <w:lvlText w:val="(%1)"/>
      <w:numFmt w:val="lowerLetter"/>
      <w:start w:val="9"/>
    </w:lvl>
    <w:lvl w:ilvl="1">
      <w:lvlJc w:val="left"/>
      <w:lvlText w:val="%2"/>
      <w:numFmt w:val="lowerLetter"/>
      <w:start w:val="1"/>
    </w:lvl>
  </w:abstractNum>
  <w:abstractNum w:abstractNumId="58">
    <w:nsid w:val="2DF6D648"/>
    <w:multiLevelType w:val="hybridMultilevel"/>
    <w:lvl w:ilvl="0">
      <w:lvlJc w:val="left"/>
      <w:lvlText w:val="(%1)"/>
      <w:numFmt w:val="lowerLetter"/>
      <w:start w:val="1"/>
    </w:lvl>
  </w:abstractNum>
  <w:abstractNum w:abstractNumId="59">
    <w:nsid w:val="46B7D447"/>
    <w:multiLevelType w:val="hybridMultilevel"/>
    <w:lvl w:ilvl="0">
      <w:lvlJc w:val="left"/>
      <w:lvlText w:val="%1"/>
      <w:numFmt w:val="lowerLetter"/>
      <w:start w:val="1"/>
    </w:lvl>
    <w:lvl w:ilvl="1">
      <w:lvlJc w:val="left"/>
      <w:lvlText w:val="(%2)"/>
      <w:numFmt w:val="lowerLetter"/>
      <w:start w:val="2"/>
    </w:lvl>
  </w:abstractNum>
  <w:abstractNum w:abstractNumId="60">
    <w:nsid w:val="4A2AC315"/>
    <w:multiLevelType w:val="hybridMultilevel"/>
    <w:lvl w:ilvl="0">
      <w:lvlJc w:val="left"/>
      <w:lvlText w:val="(%1)"/>
      <w:numFmt w:val="lowerLetter"/>
      <w:start w:val="35"/>
    </w:lvl>
    <w:lvl w:ilvl="1">
      <w:lvlJc w:val="left"/>
      <w:lvlText w:val="%2"/>
      <w:numFmt w:val="lowerLetter"/>
      <w:start w:val="1"/>
    </w:lvl>
  </w:abstractNum>
  <w:abstractNum w:abstractNumId="61">
    <w:nsid w:val="39EE015C"/>
    <w:multiLevelType w:val="hybridMultilevel"/>
    <w:lvl w:ilvl="0">
      <w:lvlJc w:val="left"/>
      <w:lvlText w:val="(%1)"/>
      <w:numFmt w:val="lowerLetter"/>
      <w:start w:val="9"/>
    </w:lvl>
    <w:lvl w:ilvl="1">
      <w:lvlJc w:val="left"/>
      <w:lvlText w:val="%2"/>
      <w:numFmt w:val="lowerLetter"/>
      <w:start w:val="1"/>
    </w:lvl>
  </w:abstractNum>
  <w:abstractNum w:abstractNumId="62">
    <w:nsid w:val="57FC4FBB"/>
    <w:multiLevelType w:val="hybridMultilevel"/>
    <w:lvl w:ilvl="0">
      <w:lvlJc w:val="left"/>
      <w:lvlText w:val="(%1)"/>
      <w:numFmt w:val="lowerLetter"/>
      <w:start w:val="2"/>
    </w:lvl>
  </w:abstractNum>
  <w:abstractNum w:abstractNumId="63">
    <w:nsid w:val="CC1016F"/>
    <w:multiLevelType w:val="hybridMultilevel"/>
    <w:lvl w:ilvl="0">
      <w:lvlJc w:val="left"/>
      <w:lvlText w:val="(%1)"/>
      <w:numFmt w:val="decimal"/>
      <w:start w:val="15"/>
    </w:lvl>
    <w:lvl w:ilvl="1">
      <w:lvlJc w:val="left"/>
      <w:lvlText w:val="(%2)"/>
      <w:numFmt w:val="lowerLetter"/>
      <w:start w:val="1"/>
    </w:lvl>
  </w:abstractNum>
  <w:abstractNum w:abstractNumId="64">
    <w:nsid w:val="43F18422"/>
    <w:multiLevelType w:val="hybridMultilevel"/>
    <w:lvl w:ilvl="0">
      <w:lvlJc w:val="left"/>
      <w:lvlText w:val="%1"/>
      <w:numFmt w:val="lowerLetter"/>
      <w:start w:val="1"/>
    </w:lvl>
    <w:lvl w:ilvl="1">
      <w:lvlJc w:val="left"/>
      <w:lvlText w:val="(%2)"/>
      <w:numFmt w:val="lowerLetter"/>
      <w:start w:val="1"/>
    </w:lvl>
  </w:abstractNum>
  <w:abstractNum w:abstractNumId="65">
    <w:nsid w:val="60EF0119"/>
    <w:multiLevelType w:val="hybridMultilevel"/>
    <w:lvl w:ilvl="0">
      <w:lvlJc w:val="left"/>
      <w:lvlText w:val="(%1)"/>
      <w:numFmt w:val="lowerLetter"/>
      <w:start w:val="61"/>
    </w:lvl>
    <w:lvl w:ilvl="1">
      <w:lvlJc w:val="left"/>
      <w:lvlText w:val="%2"/>
      <w:numFmt w:val="lowerLetter"/>
      <w:start w:val="1"/>
    </w:lvl>
  </w:abstractNum>
  <w:abstractNum w:abstractNumId="66">
    <w:nsid w:val="26F324BA"/>
    <w:multiLevelType w:val="hybridMultilevel"/>
    <w:lvl w:ilvl="0">
      <w:lvlJc w:val="left"/>
      <w:lvlText w:val="(%1)"/>
      <w:numFmt w:val="lowerLetter"/>
      <w:start w:val="1"/>
    </w:lvl>
  </w:abstractNum>
  <w:abstractNum w:abstractNumId="67">
    <w:nsid w:val="7F01579B"/>
    <w:multiLevelType w:val="hybridMultilevel"/>
    <w:lvl w:ilvl="0">
      <w:lvlJc w:val="left"/>
      <w:lvlText w:val="(%1)"/>
      <w:numFmt w:val="lowerLetter"/>
      <w:start w:val="1"/>
    </w:lvl>
  </w:abstractNum>
  <w:abstractNum w:abstractNumId="68">
    <w:nsid w:val="49DA307D"/>
    <w:multiLevelType w:val="hybridMultilevel"/>
    <w:lvl w:ilvl="0">
      <w:lvlJc w:val="left"/>
      <w:lvlText w:val="(%1)"/>
      <w:numFmt w:val="lowerLetter"/>
      <w:start w:val="2"/>
    </w:lvl>
  </w:abstractNum>
  <w:abstractNum w:abstractNumId="69">
    <w:nsid w:val="7055A5F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70">
    <w:nsid w:val="5FB8370B"/>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71">
    <w:nsid w:val="50801EE1"/>
    <w:multiLevelType w:val="hybridMultilevel"/>
    <w:lvl w:ilvl="0">
      <w:lvlJc w:val="left"/>
      <w:lvlText w:val="(%1)"/>
      <w:numFmt w:val="lowerRoman"/>
      <w:start w:val="2"/>
    </w:lvl>
  </w:abstractNum>
  <w:abstractNum w:abstractNumId="72">
    <w:nsid w:val="488AC1A"/>
    <w:multiLevelType w:val="hybridMultilevel"/>
    <w:lvl w:ilvl="0">
      <w:lvlJc w:val="left"/>
      <w:lvlText w:val="%1"/>
      <w:numFmt w:val="upperLetter"/>
      <w:start w:val="1"/>
    </w:lvl>
    <w:lvl w:ilvl="1">
      <w:lvlJc w:val="left"/>
      <w:lvlText w:val="(%2)"/>
      <w:numFmt w:val="lowerRoman"/>
      <w:start w:val="6"/>
    </w:lvl>
  </w:abstractNum>
  <w:abstractNum w:abstractNumId="73">
    <w:nsid w:val="5FB8011C"/>
    <w:multiLevelType w:val="hybridMultilevel"/>
    <w:lvl w:ilvl="0">
      <w:lvlJc w:val="left"/>
      <w:lvlText w:val="(%1)"/>
      <w:numFmt w:val="upperLetter"/>
      <w:start w:val="2"/>
    </w:lvl>
    <w:lvl w:ilvl="1">
      <w:lvlJc w:val="left"/>
      <w:lvlText w:val="%2"/>
      <w:numFmt w:val="lowerRoman"/>
      <w:start w:val="1"/>
    </w:lvl>
  </w:abstractNum>
  <w:abstractNum w:abstractNumId="74">
    <w:nsid w:val="6AA78F7F"/>
    <w:multiLevelType w:val="hybridMultilevel"/>
    <w:lvl w:ilvl="0">
      <w:lvlJc w:val="left"/>
      <w:lvlText w:val="(%1)"/>
      <w:numFmt w:val="lowerRoman"/>
      <w:start w:val="12"/>
    </w:lvl>
    <w:lvl w:ilvl="1">
      <w:lvlJc w:val="left"/>
      <w:lvlText w:val="(%2)"/>
      <w:numFmt w:val="decimal"/>
      <w:start w:val="1"/>
    </w:lvl>
  </w:abstractNum>
  <w:abstractNum w:abstractNumId="75">
    <w:nsid w:val="7672BD23"/>
    <w:multiLevelType w:val="hybridMultilevel"/>
    <w:lvl w:ilvl="0">
      <w:lvlJc w:val="left"/>
      <w:lvlText w:val="%1"/>
      <w:numFmt w:val="decimal"/>
      <w:start w:val="1"/>
    </w:lvl>
    <w:lvl w:ilvl="1">
      <w:lvlJc w:val="left"/>
      <w:lvlText w:val="%2"/>
      <w:numFmt w:val="lowerRoman"/>
      <w:start w:val="1"/>
    </w:lvl>
    <w:lvl w:ilvl="2">
      <w:lvlJc w:val="left"/>
      <w:lvlText w:val="(%3)"/>
      <w:numFmt w:val="decimal"/>
      <w:start w:val="2"/>
    </w:lvl>
  </w:abstractNum>
  <w:abstractNum w:abstractNumId="76">
    <w:nsid w:val="6FC75AF8"/>
    <w:multiLevelType w:val="hybridMultilevel"/>
    <w:lvl w:ilvl="0">
      <w:lvlJc w:val="left"/>
      <w:lvlText w:val="%1"/>
      <w:numFmt w:val="decimal"/>
      <w:start w:val="1"/>
    </w:lvl>
    <w:lvl w:ilvl="1">
      <w:lvlJc w:val="left"/>
      <w:lvlText w:val="(%2)"/>
      <w:numFmt w:val="lowerRoman"/>
      <w:start w:val="18"/>
    </w:lvl>
    <w:lvl w:ilvl="2">
      <w:lvlJc w:val="left"/>
      <w:lvlText w:val="%3"/>
      <w:numFmt w:val="decimal"/>
      <w:start w:val="1"/>
    </w:lvl>
  </w:abstractNum>
  <w:abstractNum w:abstractNumId="77">
    <w:nsid w:val="6A5F7029"/>
    <w:multiLevelType w:val="hybridMultilevel"/>
    <w:lvl w:ilvl="0">
      <w:lvlJc w:val="left"/>
      <w:lvlText w:val="(%1)"/>
      <w:numFmt w:val="decimal"/>
      <w:start w:val="5"/>
    </w:lvl>
    <w:lvl w:ilvl="1">
      <w:lvlJc w:val="left"/>
      <w:lvlText w:val="(%2)"/>
      <w:numFmt w:val="lowerRoman"/>
      <w:start w:val="19"/>
    </w:lvl>
    <w:lvl w:ilvl="2">
      <w:lvlJc w:val="left"/>
      <w:lvlText w:val="%3"/>
      <w:numFmt w:val="decimal"/>
      <w:start w:val="1"/>
    </w:lvl>
  </w:abstractNum>
  <w:abstractNum w:abstractNumId="78">
    <w:nsid w:val="7D5E18F8"/>
    <w:multiLevelType w:val="hybridMultilevel"/>
    <w:lvl w:ilvl="0">
      <w:lvlJc w:val="left"/>
      <w:lvlText w:val="(%1)"/>
      <w:numFmt w:val="lowerLetter"/>
      <w:start w:val="2"/>
    </w:lvl>
    <w:lvl w:ilvl="1">
      <w:lvlJc w:val="left"/>
      <w:lvlText w:val="(%2)"/>
      <w:numFmt w:val="lowerRoman"/>
      <w:start w:val="1"/>
    </w:lvl>
  </w:abstractNum>
  <w:abstractNum w:abstractNumId="79">
    <w:nsid w:val="5F3534A4"/>
    <w:multiLevelType w:val="hybridMultilevel"/>
    <w:lvl w:ilvl="0">
      <w:lvlJc w:val="left"/>
      <w:lvlText w:val="(%1)"/>
      <w:numFmt w:val="lowerRoman"/>
      <w:start w:val="5"/>
    </w:lvl>
  </w:abstractNum>
  <w:abstractNum w:abstractNumId="80">
    <w:nsid w:val="73A1821B"/>
    <w:multiLevelType w:val="hybridMultilevel"/>
    <w:lvl w:ilvl="0">
      <w:lvlJc w:val="left"/>
      <w:lvlText w:val="(%1)"/>
      <w:numFmt w:val="lowerLetter"/>
      <w:start w:val="1"/>
    </w:lvl>
  </w:abstractNum>
  <w:abstractNum w:abstractNumId="81">
    <w:nsid w:val="7DE67713"/>
    <w:multiLevelType w:val="hybridMultilevel"/>
    <w:lvl w:ilvl="0">
      <w:lvlJc w:val="left"/>
      <w:lvlText w:val="(%1)"/>
      <w:numFmt w:val="lowerLetter"/>
      <w:start w:val="1"/>
    </w:lvl>
  </w:abstractNum>
  <w:abstractNum w:abstractNumId="82">
    <w:nsid w:val="555C55B5"/>
    <w:multiLevelType w:val="hybridMultilevel"/>
    <w:lvl w:ilvl="0">
      <w:lvlJc w:val="left"/>
      <w:lvlText w:val="(%1)"/>
      <w:numFmt w:val="lowerLetter"/>
      <w:start w:val="3"/>
    </w:lvl>
  </w:abstractNum>
  <w:abstractNum w:abstractNumId="83">
    <w:nsid w:val="3FA62ACA"/>
    <w:multiLevelType w:val="hybridMultilevel"/>
    <w:lvl w:ilvl="0">
      <w:lvlJc w:val="left"/>
      <w:lvlText w:val="(%1)"/>
      <w:numFmt w:val="lowerRoman"/>
      <w:start w:val="1"/>
    </w:lvl>
  </w:abstractNum>
  <w:abstractNum w:abstractNumId="84">
    <w:nsid w:val="14FCE74E"/>
    <w:multiLevelType w:val="hybridMultilevel"/>
    <w:lvl w:ilvl="0">
      <w:lvlJc w:val="left"/>
      <w:lvlText w:val="(%1)"/>
      <w:numFmt w:val="lowerLetter"/>
      <w:start w:val="4"/>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2"/>
    </w:lvl>
    <w:lvl w:ilvl="1">
      <w:lvlJc w:val="left"/>
      <w:lvlText w:val="(%2)"/>
      <w:numFmt w:val="lowerRoman"/>
      <w:start w:val="1"/>
    </w:lvl>
  </w:abstractNum>
  <w:abstractNum w:abstractNumId="87">
    <w:nsid w:val="9DAF632"/>
    <w:multiLevelType w:val="hybridMultilevel"/>
    <w:lvl w:ilvl="0">
      <w:lvlJc w:val="left"/>
      <w:lvlText w:val="(%1)"/>
      <w:numFmt w:val="lowerLetter"/>
      <w:start w:val="1"/>
    </w:lvl>
  </w:abstractNum>
  <w:abstractNum w:abstractNumId="88">
    <w:nsid w:val="53299938"/>
    <w:multiLevelType w:val="hybridMultilevel"/>
    <w:lvl w:ilvl="0">
      <w:lvlJc w:val="left"/>
      <w:lvlText w:val="[***]"/>
      <w:numFmt w:val="bullet"/>
      <w:start w:val="1"/>
    </w:lvl>
    <w:lvl w:ilvl="1">
      <w:lvlJc w:val="left"/>
      <w:lvlText w:val="(%2)"/>
      <w:numFmt w:val="lowerLetter"/>
      <w:start w:val="2"/>
    </w:lvl>
  </w:abstractNum>
  <w:abstractNum w:abstractNumId="89">
    <w:nsid w:val="1FBFE8E0"/>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90">
    <w:nsid w:val="5092CA79"/>
    <w:multiLevelType w:val="hybridMultilevel"/>
    <w:lvl w:ilvl="0">
      <w:lvlJc w:val="left"/>
      <w:lvlText w:val="[***]"/>
      <w:numFmt w:val="bullet"/>
      <w:start w:val="1"/>
    </w:lvl>
    <w:lvl w:ilvl="1">
      <w:lvlJc w:val="left"/>
      <w:lvlText w:val="(%2)"/>
      <w:numFmt w:val="lowerRoman"/>
      <w:start w:val="2"/>
    </w:lvl>
  </w:abstractNum>
  <w:abstractNum w:abstractNumId="91">
    <w:nsid w:val="1D545C4D"/>
    <w:multiLevelType w:val="hybridMultilevel"/>
    <w:lvl w:ilvl="0">
      <w:lvlJc w:val="left"/>
      <w:lvlText w:val="(%1)"/>
      <w:numFmt w:val="lowerLetter"/>
      <w:start w:val="2"/>
    </w:lvl>
  </w:abstractNum>
  <w:abstractNum w:abstractNumId="92">
    <w:nsid w:val="59ADEA3D"/>
    <w:multiLevelType w:val="hybridMultilevel"/>
    <w:lvl w:ilvl="0">
      <w:lvlJc w:val="left"/>
      <w:lvlText w:val="(%1)"/>
      <w:numFmt w:val="lowerLetter"/>
      <w:start w:val="3"/>
    </w:lvl>
  </w:abstractNum>
  <w:abstractNum w:abstractNumId="93">
    <w:nsid w:val="288F1A34"/>
    <w:multiLevelType w:val="hybridMultilevel"/>
    <w:lvl w:ilvl="0">
      <w:lvlJc w:val="left"/>
      <w:lvlText w:val="(%1)"/>
      <w:numFmt w:val="lowerLetter"/>
      <w:start w:val="2"/>
    </w:lvl>
  </w:abstractNum>
  <w:abstractNum w:abstractNumId="94">
    <w:nsid w:val="2A155DBC"/>
    <w:multiLevelType w:val="hybridMultilevel"/>
    <w:lvl w:ilvl="0">
      <w:lvlJc w:val="left"/>
      <w:lvlText w:val="(%1)"/>
      <w:numFmt w:val="lowerLetter"/>
      <w:start w:val="1"/>
    </w:lvl>
  </w:abstractNum>
  <w:abstractNum w:abstractNumId="95">
    <w:nsid w:val="1D9F6E5F"/>
    <w:multiLevelType w:val="hybridMultilevel"/>
    <w:lvl w:ilvl="0">
      <w:lvlJc w:val="left"/>
      <w:lvlText w:val="(%1)"/>
      <w:numFmt w:val="lowerLetter"/>
      <w:start w:val="4"/>
    </w:lvl>
  </w:abstractNum>
  <w:abstractNum w:abstractNumId="96">
    <w:nsid w:val="97E1B4E"/>
    <w:multiLevelType w:val="hybridMultilevel"/>
    <w:lvl w:ilvl="0">
      <w:lvlJc w:val="left"/>
      <w:lvlText w:val="(%1)"/>
      <w:numFmt w:val="lowerLetter"/>
      <w:start w:val="1"/>
    </w:lvl>
  </w:abstractNum>
  <w:abstractNum w:abstractNumId="97">
    <w:nsid w:val="51088277"/>
    <w:multiLevelType w:val="hybridMultilevel"/>
    <w:lvl w:ilvl="0">
      <w:lvlJc w:val="left"/>
      <w:lvlText w:val="(%1)"/>
      <w:numFmt w:val="lowerLetter"/>
      <w:start w:val="2"/>
    </w:lvl>
  </w:abstractNum>
  <w:abstractNum w:abstractNumId="98">
    <w:nsid w:val="1CA0C5FA"/>
    <w:multiLevelType w:val="hybridMultilevel"/>
    <w:lvl w:ilvl="0">
      <w:lvlJc w:val="left"/>
      <w:lvlText w:val="(%1)"/>
      <w:numFmt w:val="lowerLetter"/>
      <w:start w:val="1"/>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lowerLetter"/>
      <w:start w:val="6"/>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Roman"/>
      <w:start w:val="1"/>
    </w:lvl>
  </w:abstractNum>
  <w:abstractNum w:abstractNumId="103">
    <w:nsid w:val="45E6D486"/>
    <w:multiLevelType w:val="hybridMultilevel"/>
    <w:lvl w:ilvl="0">
      <w:lvlJc w:val="left"/>
      <w:lvlText w:val="(%1)"/>
      <w:numFmt w:val="lowerLetter"/>
      <w:start w:val="2"/>
    </w:lvl>
  </w:abstractNum>
  <w:abstractNum w:abstractNumId="104">
    <w:nsid w:val="5C10FE21"/>
    <w:multiLevelType w:val="hybridMultilevel"/>
    <w:lvl w:ilvl="0">
      <w:lvlJc w:val="left"/>
      <w:lvlText w:val="(%1)"/>
      <w:numFmt w:val="lowerLetter"/>
      <w:start w:val="5"/>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2"/>
    </w:lvl>
  </w:abstractNum>
  <w:abstractNum w:abstractNumId="107">
    <w:nsid w:val="4BD8591A"/>
    <w:multiLevelType w:val="hybridMultilevel"/>
    <w:lvl w:ilvl="0">
      <w:lvlJc w:val="left"/>
      <w:lvlText w:val="(%1)"/>
      <w:numFmt w:val="lowerLetter"/>
      <w:start w:val="1"/>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1)"/>
      <w:numFmt w:val="lowerRoman"/>
      <w:start w:val="1"/>
    </w:lvl>
  </w:abstractNum>
  <w:abstractNum w:abstractNumId="110">
    <w:nsid w:val="2B0D8DBE"/>
    <w:multiLevelType w:val="hybridMultilevel"/>
    <w:lvl w:ilvl="0">
      <w:lvlJc w:val="left"/>
      <w:lvlText w:val="(%1)"/>
      <w:numFmt w:val="lowerLetter"/>
      <w:start w:val="1"/>
    </w:lvl>
  </w:abstractNum>
  <w:abstractNum w:abstractNumId="111">
    <w:nsid w:val="6C80EC70"/>
    <w:multiLevelType w:val="hybridMultilevel"/>
    <w:lvl w:ilvl="0">
      <w:lvlJc w:val="left"/>
      <w:lvlText w:val="(%1)"/>
      <w:numFmt w:val="decimal"/>
      <w:start w:val="15"/>
    </w:lvl>
    <w:lvl w:ilvl="1">
      <w:lvlJc w:val="left"/>
      <w:lvlText w:val="(%2)"/>
      <w:numFmt w:val="lowerLetter"/>
      <w:start w:val="2"/>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3"/>
    </w:lvl>
  </w:abstractNum>
  <w:abstractNum w:abstractNumId="114">
    <w:nsid w:val="2C27173B"/>
    <w:multiLevelType w:val="hybridMultilevel"/>
    <w:lvl w:ilvl="0">
      <w:lvlJc w:val="left"/>
      <w:lvlText w:val="(%1)"/>
      <w:numFmt w:val="lowerLetter"/>
      <w:start w:val="1"/>
    </w:lvl>
  </w:abstractNum>
  <w:abstractNum w:abstractNumId="115">
    <w:nsid w:val="4C9B0904"/>
    <w:multiLevelType w:val="hybridMultilevel"/>
    <w:lvl w:ilvl="0">
      <w:lvlJc w:val="left"/>
      <w:lvlText w:val="(%1)"/>
      <w:numFmt w:val="lowerLetter"/>
      <w:start w:val="2"/>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1."/>
      <w:numFmt w:val="decimal"/>
      <w:start w:val="1"/>
    </w:lvl>
    <w:lvl w:ilvl="1">
      <w:lvlJc w:val="left"/>
      <w:lvlText w:val="%2)"/>
      <w:numFmt w:val="lowerLetter"/>
      <w:start w:val="1"/>
    </w:lvl>
  </w:abstractNum>
  <w:abstractNum w:abstractNumId="119">
    <w:nsid w:val="3DD15094"/>
    <w:multiLevelType w:val="hybridMultilevel"/>
    <w:lvl w:ilvl="0">
      <w:lvlJc w:val="left"/>
      <w:lvlText w:val="%1."/>
      <w:numFmt w:val="decimal"/>
      <w:start w:val="1"/>
    </w:lvl>
    <w:lvl w:ilvl="1">
      <w:lvlJc w:val="left"/>
      <w:lvlText w:val="%2)"/>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2020-01-10T23:14:40Z</dcterms:created>
  <dcterms:modified xsi:type="dcterms:W3CDTF">2020-01-10T23:14:40Z</dcterms:modified>
</cp:coreProperties>
</file>